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D" w:rsidRPr="00503BAC" w:rsidRDefault="003952FD" w:rsidP="003952FD">
      <w:pPr>
        <w:ind w:firstLine="5954"/>
        <w:rPr>
          <w:b/>
          <w:lang w:val="bg-BG"/>
        </w:rPr>
      </w:pPr>
      <w:bookmarkStart w:id="0" w:name="_GoBack"/>
      <w:bookmarkEnd w:id="0"/>
      <w:r w:rsidRPr="00503BAC">
        <w:rPr>
          <w:b/>
          <w:lang w:val="bg-BG"/>
        </w:rPr>
        <w:t>ОДОБРИЛ:</w:t>
      </w:r>
    </w:p>
    <w:p w:rsidR="003952FD" w:rsidRPr="00503BAC" w:rsidRDefault="003952FD" w:rsidP="003952FD">
      <w:pPr>
        <w:ind w:firstLine="5670"/>
        <w:rPr>
          <w:b/>
          <w:lang w:val="bg-BG"/>
        </w:rPr>
      </w:pPr>
      <w:r w:rsidRPr="00503BAC">
        <w:rPr>
          <w:b/>
          <w:lang w:val="bg-BG"/>
        </w:rPr>
        <w:t xml:space="preserve">     ПЛАМЕН СТОИЛОВ</w:t>
      </w:r>
    </w:p>
    <w:p w:rsidR="003952FD" w:rsidRPr="00503BAC" w:rsidRDefault="003952FD" w:rsidP="003952FD">
      <w:pPr>
        <w:ind w:firstLine="5670"/>
        <w:rPr>
          <w:b/>
          <w:lang w:val="bg-BG"/>
        </w:rPr>
      </w:pPr>
      <w:r w:rsidRPr="00503BAC">
        <w:rPr>
          <w:b/>
          <w:lang w:val="bg-BG"/>
        </w:rPr>
        <w:t xml:space="preserve">     </w:t>
      </w:r>
      <w:r w:rsidRPr="00503BAC">
        <w:rPr>
          <w:i/>
          <w:lang w:val="bg-BG"/>
        </w:rPr>
        <w:t>Кмет на Община Русе</w:t>
      </w:r>
    </w:p>
    <w:p w:rsidR="003952FD" w:rsidRPr="00503BAC" w:rsidRDefault="003952FD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</w:p>
    <w:p w:rsidR="003952FD" w:rsidRPr="00503BAC" w:rsidRDefault="003952FD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</w:p>
    <w:p w:rsidR="00785498" w:rsidRPr="00503BAC" w:rsidRDefault="00785498" w:rsidP="00B8037F">
      <w:pPr>
        <w:tabs>
          <w:tab w:val="left" w:pos="-600"/>
          <w:tab w:val="left" w:pos="993"/>
        </w:tabs>
        <w:ind w:firstLine="709"/>
        <w:jc w:val="center"/>
        <w:rPr>
          <w:b/>
          <w:bCs/>
          <w:lang w:val="bg-BG"/>
        </w:rPr>
      </w:pPr>
      <w:r w:rsidRPr="00503BAC">
        <w:rPr>
          <w:b/>
          <w:bCs/>
          <w:lang w:val="bg-BG"/>
        </w:rPr>
        <w:t>ТЕХНИЧЕСКА СПЕЦИФИКАЦИЯ</w:t>
      </w:r>
    </w:p>
    <w:p w:rsidR="00785498" w:rsidRPr="00503BAC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  <w:r w:rsidRPr="00503BAC">
        <w:rPr>
          <w:b/>
          <w:lang w:val="bg-BG"/>
        </w:rPr>
        <w:t>за изпълнение на обществена поръчка с предмет</w:t>
      </w:r>
    </w:p>
    <w:p w:rsidR="00785498" w:rsidRPr="00503BAC" w:rsidRDefault="00785498" w:rsidP="0077508D">
      <w:pPr>
        <w:pStyle w:val="a8"/>
        <w:tabs>
          <w:tab w:val="left" w:pos="993"/>
        </w:tabs>
        <w:jc w:val="center"/>
        <w:rPr>
          <w:rFonts w:ascii="Times New Roman" w:hAnsi="Times New Roman" w:cs="Times New Roman"/>
          <w:bCs/>
          <w:i/>
          <w:lang w:val="bg-BG"/>
        </w:rPr>
      </w:pPr>
      <w:r w:rsidRPr="00503BAC">
        <w:rPr>
          <w:rFonts w:ascii="Times New Roman" w:hAnsi="Times New Roman" w:cs="Times New Roman"/>
          <w:lang w:val="bg-BG"/>
        </w:rPr>
        <w:t>“</w:t>
      </w:r>
      <w:r w:rsidR="00AA2746" w:rsidRPr="00503BAC">
        <w:rPr>
          <w:rFonts w:ascii="Times New Roman" w:hAnsi="Times New Roman" w:cs="Times New Roman"/>
          <w:lang w:val="bg-BG"/>
        </w:rPr>
        <w:t xml:space="preserve">Изпълнение на строителни и монтажни работи на обект </w:t>
      </w:r>
      <w:r w:rsidR="008D4DA1" w:rsidRPr="00503BAC">
        <w:rPr>
          <w:rFonts w:ascii="Times New Roman" w:hAnsi="Times New Roman" w:cs="Times New Roman"/>
          <w:b/>
          <w:lang w:val="bg-BG"/>
        </w:rPr>
        <w:t>„Рехабилитация на кейовите стени на пътнически терминал Русе – център и подобряване на навигационните условия на 3 корабни места“</w:t>
      </w:r>
    </w:p>
    <w:p w:rsidR="00785498" w:rsidRPr="00503BAC" w:rsidRDefault="00785498" w:rsidP="00B8037F">
      <w:pPr>
        <w:tabs>
          <w:tab w:val="left" w:pos="993"/>
        </w:tabs>
        <w:spacing w:before="60"/>
        <w:ind w:firstLine="709"/>
        <w:jc w:val="center"/>
        <w:rPr>
          <w:b/>
          <w:lang w:val="bg-BG"/>
        </w:rPr>
      </w:pPr>
    </w:p>
    <w:p w:rsidR="00785498" w:rsidRPr="00503BAC" w:rsidRDefault="00785498" w:rsidP="00B8037F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i/>
          <w:lang w:val="bg-BG"/>
        </w:rPr>
      </w:pPr>
      <w:r w:rsidRPr="00503BAC">
        <w:rPr>
          <w:b/>
          <w:i/>
          <w:lang w:val="bg-BG"/>
        </w:rPr>
        <w:t>Местонахождение на обекта</w:t>
      </w:r>
    </w:p>
    <w:p w:rsidR="0077508D" w:rsidRPr="00503BAC" w:rsidRDefault="0077508D" w:rsidP="0077508D">
      <w:pPr>
        <w:ind w:firstLine="708"/>
        <w:rPr>
          <w:lang w:val="bg-BG"/>
        </w:rPr>
      </w:pPr>
    </w:p>
    <w:p w:rsidR="00BB0E90" w:rsidRPr="00503BAC" w:rsidRDefault="00BB0E90" w:rsidP="00773B27">
      <w:pPr>
        <w:ind w:firstLine="709"/>
        <w:jc w:val="both"/>
        <w:rPr>
          <w:lang w:val="bg-BG"/>
        </w:rPr>
      </w:pPr>
      <w:r w:rsidRPr="00503BAC">
        <w:rPr>
          <w:rFonts w:eastAsia="Calibri"/>
          <w:lang w:val="bg-BG"/>
        </w:rPr>
        <w:t>У</w:t>
      </w:r>
      <w:r w:rsidRPr="00503BAC">
        <w:rPr>
          <w:lang w:val="bg-BG"/>
        </w:rPr>
        <w:t>словно, територията предвидена за рехабилитация на кейовата стена е от дълбокия път при хотел „Рига“ до витата пасарелка на училището по облекло. Проектът предвижда рехабилитация на кейовата стена - брегова ивица, с дължина 500 м. по брега на р. Дунав в границите на гр. Русе от км. 498,850 до км. 495,350 от районирането на реката.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/>
          <w:i/>
          <w:lang w:val="bg-BG"/>
        </w:rPr>
      </w:pPr>
    </w:p>
    <w:p w:rsidR="00785498" w:rsidRPr="00503BAC" w:rsidRDefault="00785498" w:rsidP="00B8037F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i/>
          <w:lang w:val="bg-BG"/>
        </w:rPr>
      </w:pPr>
      <w:r w:rsidRPr="00503BAC">
        <w:rPr>
          <w:b/>
          <w:i/>
          <w:lang w:val="bg-BG"/>
        </w:rPr>
        <w:t>Информация за съществуващото състояние на обекта</w:t>
      </w:r>
    </w:p>
    <w:p w:rsidR="00785498" w:rsidRPr="00503BAC" w:rsidRDefault="00785498" w:rsidP="00B8037F">
      <w:pPr>
        <w:tabs>
          <w:tab w:val="left" w:pos="993"/>
          <w:tab w:val="right" w:pos="9072"/>
        </w:tabs>
        <w:ind w:firstLine="709"/>
        <w:jc w:val="both"/>
        <w:rPr>
          <w:b/>
          <w:i/>
          <w:lang w:val="bg-BG"/>
        </w:rPr>
      </w:pPr>
    </w:p>
    <w:p w:rsidR="0044313E" w:rsidRPr="00503BAC" w:rsidRDefault="0044313E" w:rsidP="0044313E">
      <w:pPr>
        <w:ind w:firstLine="711"/>
        <w:jc w:val="both"/>
        <w:rPr>
          <w:lang w:val="bg-BG"/>
        </w:rPr>
      </w:pPr>
      <w:r w:rsidRPr="00503BAC">
        <w:rPr>
          <w:lang w:val="bg-BG"/>
        </w:rPr>
        <w:t xml:space="preserve">Обектът е в рамките на проект с: Апликационен номер: 15.1.1.041 </w:t>
      </w:r>
    </w:p>
    <w:p w:rsidR="0044313E" w:rsidRPr="00503BAC" w:rsidRDefault="0044313E" w:rsidP="0044313E">
      <w:pPr>
        <w:ind w:firstLine="711"/>
        <w:jc w:val="both"/>
        <w:rPr>
          <w:lang w:val="bg-BG"/>
        </w:rPr>
      </w:pPr>
      <w:r w:rsidRPr="00503BAC">
        <w:rPr>
          <w:lang w:val="bg-BG"/>
        </w:rPr>
        <w:t>Проектен код: 15.1.1.041</w:t>
      </w:r>
    </w:p>
    <w:p w:rsidR="0044313E" w:rsidRPr="00503BAC" w:rsidRDefault="0044313E" w:rsidP="0044313E">
      <w:pPr>
        <w:ind w:firstLine="711"/>
        <w:jc w:val="both"/>
        <w:rPr>
          <w:lang w:val="bg-BG"/>
        </w:rPr>
      </w:pPr>
      <w:r w:rsidRPr="00503BAC">
        <w:rPr>
          <w:lang w:val="bg-BG"/>
        </w:rPr>
        <w:t>Водещ бенефициент: Община Русе</w:t>
      </w:r>
    </w:p>
    <w:p w:rsidR="0044313E" w:rsidRPr="00503BAC" w:rsidRDefault="0044313E" w:rsidP="0044313E">
      <w:pPr>
        <w:ind w:firstLine="711"/>
        <w:jc w:val="both"/>
        <w:rPr>
          <w:lang w:val="bg-BG"/>
        </w:rPr>
      </w:pPr>
      <w:r w:rsidRPr="00503BAC">
        <w:rPr>
          <w:lang w:val="bg-BG"/>
        </w:rPr>
        <w:t>Име: Развитие на поречието на река Дунав за по-добра свързаност на Еврорегион Русе-Гюргево с Паневропейски транспортен коридор №7</w:t>
      </w:r>
    </w:p>
    <w:p w:rsidR="0044313E" w:rsidRPr="00503BAC" w:rsidRDefault="00773B27" w:rsidP="0044313E">
      <w:pPr>
        <w:ind w:firstLine="711"/>
        <w:jc w:val="both"/>
        <w:rPr>
          <w:lang w:val="bg-BG"/>
        </w:rPr>
      </w:pPr>
      <w:r>
        <w:rPr>
          <w:lang w:val="bg-BG"/>
        </w:rPr>
        <w:t>Програма: ИНТЕР</w:t>
      </w:r>
      <w:r w:rsidR="0044313E" w:rsidRPr="00503BAC">
        <w:rPr>
          <w:lang w:val="bg-BG"/>
        </w:rPr>
        <w:t>РЕГ V-А РУМЪНИЯ - БЪЛГАРИЯ</w:t>
      </w:r>
    </w:p>
    <w:p w:rsidR="0044313E" w:rsidRPr="00503BAC" w:rsidRDefault="0044313E" w:rsidP="0044313E">
      <w:pPr>
        <w:widowControl w:val="0"/>
        <w:ind w:firstLine="711"/>
        <w:jc w:val="both"/>
        <w:rPr>
          <w:rFonts w:eastAsia="Calibri"/>
          <w:lang w:val="bg-BG"/>
        </w:rPr>
      </w:pPr>
    </w:p>
    <w:p w:rsidR="0044313E" w:rsidRPr="00503BAC" w:rsidRDefault="0044313E" w:rsidP="0044313E">
      <w:pPr>
        <w:widowControl w:val="0"/>
        <w:ind w:firstLine="711"/>
        <w:jc w:val="both"/>
        <w:rPr>
          <w:rFonts w:eastAsia="Calibri"/>
          <w:lang w:val="bg-BG"/>
        </w:rPr>
      </w:pPr>
      <w:r w:rsidRPr="00503BAC">
        <w:rPr>
          <w:lang w:val="bg-BG"/>
        </w:rPr>
        <w:t>Община Русе, като собственик на пристанище за обществен транспорт „Пътнически терминал ПРИСТИС”, намиращо се в крайбрежната парково-традиционна зона на град Русе, стартира проект за рехабилитация на 3 корабни места, намиращи се в участъка на р. Дунав от км 494.850 до км 495.350.  Целта на рехабилитацията в техническа фаза е кейовата стена на корабните места да се приспособи за използване от големи пътнически кораби при ниски и високи водни строежи.</w:t>
      </w:r>
    </w:p>
    <w:p w:rsidR="0044313E" w:rsidRPr="00503BAC" w:rsidRDefault="0044313E" w:rsidP="0044313E">
      <w:pPr>
        <w:spacing w:after="120"/>
        <w:ind w:firstLine="711"/>
        <w:jc w:val="both"/>
        <w:rPr>
          <w:lang w:val="bg-BG"/>
        </w:rPr>
      </w:pPr>
      <w:r w:rsidRPr="00503BAC">
        <w:rPr>
          <w:rFonts w:eastAsia="Calibri"/>
          <w:lang w:val="bg-BG"/>
        </w:rPr>
        <w:t xml:space="preserve">За изпълнението на проекта е възложенo изготвянето на технически инвестиционен проект обект: </w:t>
      </w:r>
      <w:r w:rsidRPr="00503BAC">
        <w:rPr>
          <w:b/>
          <w:lang w:val="bg-BG"/>
        </w:rPr>
        <w:t>„Рехабилитация на кейовите стени на пътнически терминал Русе – център и подобряване на навигационните условия на 3 корабни места“</w:t>
      </w:r>
      <w:r w:rsidRPr="00503BAC">
        <w:rPr>
          <w:rFonts w:eastAsia="Calibri"/>
          <w:lang w:val="bg-BG"/>
        </w:rPr>
        <w:t>.</w:t>
      </w:r>
    </w:p>
    <w:p w:rsidR="0044313E" w:rsidRPr="00503BAC" w:rsidRDefault="0044313E" w:rsidP="0044313E">
      <w:pPr>
        <w:ind w:firstLine="711"/>
        <w:jc w:val="both"/>
        <w:rPr>
          <w:lang w:val="bg-BG"/>
        </w:rPr>
      </w:pPr>
      <w:r w:rsidRPr="00503BAC">
        <w:rPr>
          <w:lang w:val="bg-BG"/>
        </w:rPr>
        <w:t xml:space="preserve">Проектът предвижда рехабилитация на кейовата стена - брегова ивица, с дължина 500 м. по брега на р. Дунав в границите на гр. Русе от км. 498,850 до км. 495,350 от районирането на реката. Обособени са три корабни места с възможности за  монтиране, от корабните оператори в бъдеще, на понтонно-мостови корабоприемни съоръжения, като е предвидено съответното захранване за тях. Кейовата стена е оборудвана с необходимите превързочни и предпазни устройства за приставане на корабите както при ниски, така и при високи води. Предвидено е районно/парково осветление на визирания участък. Зад стената, в посока градската зона, е предвидена стоманобетонова настилка тежък тип за движение на колона товарни камиони с параметри НК300, или тежко ПС НК800 с широчина по границите на одобрения ПУП за крайбрежната зона. </w:t>
      </w:r>
    </w:p>
    <w:p w:rsidR="0044313E" w:rsidRPr="00503BAC" w:rsidRDefault="0044313E" w:rsidP="0044313E">
      <w:pPr>
        <w:tabs>
          <w:tab w:val="left" w:pos="993"/>
          <w:tab w:val="right" w:pos="9072"/>
        </w:tabs>
        <w:ind w:firstLine="711"/>
        <w:jc w:val="both"/>
        <w:rPr>
          <w:b/>
          <w:i/>
          <w:lang w:val="bg-BG"/>
        </w:rPr>
      </w:pPr>
      <w:r w:rsidRPr="00503BAC">
        <w:rPr>
          <w:lang w:val="bg-BG"/>
        </w:rPr>
        <w:t>Проектното решение е съобразено с проектното решение на крайбрежната ивица: обект: “Рехабилитация и изграждане на зона за обществен отдих по крайбрежна ивица в района на ж.п. прелеза на речна гара до ул. “Мостова”, гр. Русе – първи, втори и трети етап”, разработено по проект „Техническа помощ в подкрепа на Община Русе за програмен период 2014-2020г.“, осъществен с финансовата подкрепа на Оперативна програма „Регионално развитие” 2007-2013 г. Предвидено е и обезопасяване на кейовата стена.</w:t>
      </w:r>
    </w:p>
    <w:p w:rsidR="00785498" w:rsidRPr="00503BAC" w:rsidRDefault="00785498" w:rsidP="005213D1">
      <w:pPr>
        <w:pStyle w:val="ae"/>
        <w:numPr>
          <w:ilvl w:val="0"/>
          <w:numId w:val="11"/>
        </w:numPr>
        <w:tabs>
          <w:tab w:val="left" w:pos="993"/>
        </w:tabs>
        <w:jc w:val="both"/>
        <w:rPr>
          <w:b/>
          <w:i/>
          <w:lang w:val="bg-BG"/>
        </w:rPr>
      </w:pPr>
      <w:r w:rsidRPr="00503BAC">
        <w:rPr>
          <w:b/>
          <w:i/>
          <w:lang w:val="bg-BG"/>
        </w:rPr>
        <w:lastRenderedPageBreak/>
        <w:t>Описание на предмета на поръчката</w:t>
      </w:r>
    </w:p>
    <w:p w:rsidR="00785498" w:rsidRPr="00503BAC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b/>
          <w:i/>
          <w:color w:val="FF0000"/>
          <w:lang w:val="bg-BG"/>
        </w:rPr>
      </w:pPr>
      <w:r w:rsidRPr="00503BAC">
        <w:rPr>
          <w:lang w:val="bg-BG"/>
        </w:rPr>
        <w:t xml:space="preserve">В изпълнение на възлагането по настоящата обществена поръчка, определеният Изпълнител, следва да извърши строително-монтажни работи, </w:t>
      </w:r>
      <w:r w:rsidRPr="00503BAC">
        <w:rPr>
          <w:bCs/>
          <w:lang w:val="bg-BG"/>
        </w:rPr>
        <w:t xml:space="preserve">включващи </w:t>
      </w:r>
      <w:r w:rsidRPr="00503BAC">
        <w:rPr>
          <w:lang w:val="bg-BG"/>
        </w:rPr>
        <w:t xml:space="preserve">комплекс от планирани и икономически ефективни дейности </w:t>
      </w:r>
      <w:r w:rsidRPr="00503BAC">
        <w:rPr>
          <w:b/>
          <w:lang w:val="bg-BG"/>
        </w:rPr>
        <w:t>за</w:t>
      </w:r>
      <w:r w:rsidR="00B80567" w:rsidRPr="00503BAC">
        <w:rPr>
          <w:b/>
          <w:lang w:val="bg-BG"/>
        </w:rPr>
        <w:t xml:space="preserve"> изпълнение на обект:</w:t>
      </w:r>
      <w:r w:rsidRPr="00503BAC">
        <w:rPr>
          <w:b/>
          <w:lang w:val="bg-BG"/>
        </w:rPr>
        <w:t xml:space="preserve"> </w:t>
      </w:r>
      <w:r w:rsidR="00503BAC" w:rsidRPr="00503BAC">
        <w:rPr>
          <w:b/>
          <w:lang w:val="bg-BG"/>
        </w:rPr>
        <w:t>„Рехабилитация на кейовите стени на пътнически терминал Русе – център и подобряване на навигационните условия на 3 корабни места“</w:t>
      </w:r>
      <w:r w:rsidR="004015C4" w:rsidRPr="00503BAC">
        <w:rPr>
          <w:b/>
          <w:lang w:val="bg-BG"/>
        </w:rPr>
        <w:t>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lang w:val="bg-BG"/>
        </w:rPr>
        <w:t xml:space="preserve">В предметния обхват на възлагане в настоящата обществена поръчка са включени дейности: </w:t>
      </w:r>
    </w:p>
    <w:p w:rsidR="00785498" w:rsidRPr="00503BAC" w:rsidRDefault="00680F57" w:rsidP="00B8037F">
      <w:pPr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b/>
          <w:lang w:val="bg-BG"/>
        </w:rPr>
        <w:t>Дейност</w:t>
      </w:r>
      <w:r w:rsidR="00785498" w:rsidRPr="00503BAC">
        <w:rPr>
          <w:lang w:val="bg-BG"/>
        </w:rPr>
        <w:t>: Извършване на строителните дейности на обекта, съобразно проекта, издаденото разрешение за строеж и действащите към момента нормативни изисквания.</w:t>
      </w:r>
    </w:p>
    <w:p w:rsidR="00785498" w:rsidRPr="00503BAC" w:rsidRDefault="00785498" w:rsidP="00B8037F">
      <w:pPr>
        <w:tabs>
          <w:tab w:val="left" w:pos="993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lang w:val="bg-BG"/>
        </w:rPr>
      </w:pPr>
    </w:p>
    <w:p w:rsidR="00785498" w:rsidRPr="00503BAC" w:rsidRDefault="00785498" w:rsidP="00B8037F">
      <w:pPr>
        <w:tabs>
          <w:tab w:val="left" w:pos="-284"/>
          <w:tab w:val="left" w:pos="993"/>
          <w:tab w:val="right" w:pos="9072"/>
        </w:tabs>
        <w:autoSpaceDE w:val="0"/>
        <w:autoSpaceDN w:val="0"/>
        <w:adjustRightInd w:val="0"/>
        <w:ind w:firstLine="709"/>
        <w:jc w:val="both"/>
        <w:rPr>
          <w:lang w:val="bg-BG"/>
        </w:rPr>
      </w:pPr>
      <w:r w:rsidRPr="00503BAC">
        <w:rPr>
          <w:lang w:val="bg-BG"/>
        </w:rPr>
        <w:t>В тази връзка от определения Изпълнител следва да бъдат осигурени необходимите човешки и технически ресурс (технически персонал и изпълнителски състав; техника, механизация, съоръжения и материали) за изпълнението на строителните дейности, както и отстраняване на всички неподходящи материали, почистване на обектите и всички свързани с това предвидими и непредвидими работи за приключване на работата.</w:t>
      </w:r>
    </w:p>
    <w:p w:rsidR="001F2FDE" w:rsidRDefault="001F2FDE" w:rsidP="00B8037F">
      <w:pPr>
        <w:tabs>
          <w:tab w:val="left" w:pos="993"/>
        </w:tabs>
        <w:ind w:firstLine="709"/>
        <w:jc w:val="center"/>
        <w:rPr>
          <w:b/>
          <w:i/>
          <w:lang w:val="bg-BG"/>
        </w:rPr>
      </w:pPr>
    </w:p>
    <w:p w:rsidR="00785498" w:rsidRPr="00503BAC" w:rsidRDefault="00785498" w:rsidP="00B8037F">
      <w:pPr>
        <w:tabs>
          <w:tab w:val="left" w:pos="993"/>
        </w:tabs>
        <w:ind w:firstLine="709"/>
        <w:jc w:val="center"/>
        <w:rPr>
          <w:b/>
          <w:i/>
          <w:lang w:val="bg-BG"/>
        </w:rPr>
      </w:pPr>
      <w:r w:rsidRPr="00503BAC">
        <w:rPr>
          <w:b/>
          <w:i/>
          <w:lang w:val="bg-BG"/>
        </w:rPr>
        <w:t>Обхват на дейностите, предмет на възлагане:</w:t>
      </w:r>
    </w:p>
    <w:p w:rsidR="00785498" w:rsidRPr="00503BAC" w:rsidRDefault="00785498" w:rsidP="00B8037F">
      <w:pPr>
        <w:tabs>
          <w:tab w:val="left" w:pos="993"/>
        </w:tabs>
        <w:ind w:firstLine="709"/>
        <w:jc w:val="center"/>
        <w:rPr>
          <w:lang w:val="bg-BG"/>
        </w:rPr>
      </w:pPr>
    </w:p>
    <w:p w:rsidR="00785498" w:rsidRPr="00503BAC" w:rsidRDefault="00785498" w:rsidP="0019389C">
      <w:pPr>
        <w:pStyle w:val="Style3"/>
        <w:widowControl/>
        <w:tabs>
          <w:tab w:val="left" w:pos="993"/>
        </w:tabs>
        <w:spacing w:line="240" w:lineRule="auto"/>
        <w:ind w:firstLine="709"/>
        <w:rPr>
          <w:b/>
          <w:i/>
        </w:rPr>
      </w:pPr>
      <w:r w:rsidRPr="00503BAC">
        <w:rPr>
          <w:rStyle w:val="FontStyle33"/>
          <w:rFonts w:ascii="Times New Roman" w:hAnsi="Times New Roman" w:cs="Times New Roman"/>
          <w:b/>
          <w:i/>
          <w:sz w:val="24"/>
          <w:szCs w:val="24"/>
        </w:rPr>
        <w:t xml:space="preserve">Дейност: </w:t>
      </w:r>
      <w:r w:rsidRPr="00503BAC">
        <w:rPr>
          <w:rStyle w:val="FontStyle33"/>
          <w:rFonts w:ascii="Times New Roman" w:hAnsi="Times New Roman" w:cs="Times New Roman"/>
          <w:sz w:val="24"/>
          <w:szCs w:val="24"/>
        </w:rPr>
        <w:t>Изпълнение на строително-монтажни работи по реализацията на инвестиционния проект</w:t>
      </w:r>
      <w:r w:rsidRPr="00503BAC">
        <w:t>, съобразно издаденото разрешение за строеж и изготвения инвестиционен проект в т.ч. и КСС.</w:t>
      </w:r>
    </w:p>
    <w:p w:rsidR="00785498" w:rsidRPr="00503BAC" w:rsidRDefault="00785498" w:rsidP="00B8037F">
      <w:pPr>
        <w:pStyle w:val="Style3"/>
        <w:widowControl/>
        <w:tabs>
          <w:tab w:val="left" w:pos="993"/>
        </w:tabs>
        <w:spacing w:line="240" w:lineRule="auto"/>
        <w:ind w:firstLine="709"/>
        <w:jc w:val="center"/>
        <w:rPr>
          <w:b/>
        </w:rPr>
      </w:pPr>
    </w:p>
    <w:p w:rsidR="0018156E" w:rsidRDefault="0018156E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>
        <w:rPr>
          <w:bCs/>
          <w:lang w:val="bg-BG"/>
        </w:rPr>
        <w:t xml:space="preserve">За обекта има изготвен технически инвестиционен проект, като към настоящия момент същия се съгласува със съответните експлоатационни дружества, контролни органи и заинтересувани страни. </w:t>
      </w:r>
    </w:p>
    <w:p w:rsidR="00785498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503BAC">
        <w:rPr>
          <w:bCs/>
          <w:lang w:val="bg-BG"/>
        </w:rPr>
        <w:t>Изпълнението на техническата спецификация за строителство се базира на видовете СМР, определени с инвестиционния проект за конкретния строеж и основаващи се на проектните т</w:t>
      </w:r>
      <w:r w:rsidR="000021E6">
        <w:rPr>
          <w:bCs/>
          <w:lang w:val="bg-BG"/>
        </w:rPr>
        <w:t xml:space="preserve">ехнически решения на проектанта, както и на посочени указания в съгласувателни писма на съответните контролни органи, експлоатационни дружества и други заинтересувани </w:t>
      </w:r>
      <w:r w:rsidR="0093290B">
        <w:rPr>
          <w:bCs/>
          <w:lang w:val="bg-BG"/>
        </w:rPr>
        <w:t>страни.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503BAC">
        <w:rPr>
          <w:bCs/>
          <w:lang w:val="bg-BG"/>
        </w:rPr>
        <w:t>Техническата спецификация за строителство трябва да определя рамката за изпълнение на основни видове дейности.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503BAC">
        <w:rPr>
          <w:bCs/>
          <w:lang w:val="bg-BG"/>
        </w:rPr>
        <w:t xml:space="preserve">След </w:t>
      </w:r>
      <w:r w:rsidR="007172BA" w:rsidRPr="00503BAC">
        <w:rPr>
          <w:bCs/>
          <w:lang w:val="bg-BG"/>
        </w:rPr>
        <w:t>откриване на строителната площадка и даване на линия и ниво с Акт образец 2/2а</w:t>
      </w:r>
      <w:r w:rsidRPr="00503BAC">
        <w:rPr>
          <w:bCs/>
          <w:lang w:val="bg-BG"/>
        </w:rPr>
        <w:t>, Изпълнителят започва строителството, съобразно изискванията на документацията за обществената поръчка, предоставената от него оферта, с която е избран за изпълнител, договора за изпълнение и нормативните изисквания.</w:t>
      </w:r>
    </w:p>
    <w:p w:rsidR="00785498" w:rsidRPr="00503BAC" w:rsidRDefault="00F30486" w:rsidP="00B8037F">
      <w:pPr>
        <w:pStyle w:val="ac"/>
        <w:tabs>
          <w:tab w:val="left" w:pos="993"/>
        </w:tabs>
        <w:ind w:firstLine="709"/>
        <w:jc w:val="both"/>
        <w:rPr>
          <w:b/>
          <w:szCs w:val="24"/>
          <w:lang w:val="bg-BG"/>
        </w:rPr>
      </w:pPr>
      <w:r w:rsidRPr="00503BAC">
        <w:rPr>
          <w:b/>
          <w:bCs/>
          <w:szCs w:val="24"/>
          <w:lang w:val="bg-BG"/>
        </w:rPr>
        <w:t>Обект</w:t>
      </w:r>
      <w:r w:rsidR="00282FA4" w:rsidRPr="00503BAC">
        <w:rPr>
          <w:b/>
          <w:bCs/>
          <w:szCs w:val="24"/>
          <w:lang w:val="bg-BG"/>
        </w:rPr>
        <w:t>а</w:t>
      </w:r>
      <w:r w:rsidR="00785498" w:rsidRPr="00503BAC">
        <w:rPr>
          <w:b/>
          <w:bCs/>
          <w:szCs w:val="24"/>
          <w:lang w:val="bg-BG"/>
        </w:rPr>
        <w:t xml:space="preserve"> на строителна интервенция от обхвата на общия обем дейности, подлежащи на изпълнение, е:</w:t>
      </w:r>
      <w:r w:rsidR="00785498" w:rsidRPr="00503BAC">
        <w:rPr>
          <w:b/>
          <w:szCs w:val="24"/>
          <w:lang w:val="bg-BG"/>
        </w:rPr>
        <w:t xml:space="preserve">  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503BAC">
        <w:rPr>
          <w:bCs/>
          <w:lang w:val="bg-BG"/>
        </w:rPr>
        <w:t>- I-</w:t>
      </w:r>
      <w:r w:rsidR="00E060E9">
        <w:rPr>
          <w:bCs/>
          <w:lang w:val="bg-BG"/>
        </w:rPr>
        <w:t>в</w:t>
      </w:r>
      <w:r w:rsidRPr="00503BAC">
        <w:rPr>
          <w:bCs/>
          <w:lang w:val="bg-BG"/>
        </w:rPr>
        <w:t>а (</w:t>
      </w:r>
      <w:r w:rsidR="00E060E9">
        <w:rPr>
          <w:bCs/>
          <w:lang w:val="bg-BG"/>
        </w:rPr>
        <w:t>първа</w:t>
      </w:r>
      <w:r w:rsidRPr="00503BAC">
        <w:rPr>
          <w:bCs/>
          <w:lang w:val="bg-BG"/>
        </w:rPr>
        <w:t>) категория, по смисъла на чл.137, ал.1, т.</w:t>
      </w:r>
      <w:r w:rsidR="00E060E9">
        <w:rPr>
          <w:bCs/>
          <w:lang w:val="bg-BG"/>
        </w:rPr>
        <w:t xml:space="preserve"> 1</w:t>
      </w:r>
      <w:r w:rsidRPr="00503BAC">
        <w:rPr>
          <w:bCs/>
          <w:lang w:val="bg-BG"/>
        </w:rPr>
        <w:t>, буква „</w:t>
      </w:r>
      <w:r w:rsidR="00E060E9">
        <w:rPr>
          <w:bCs/>
          <w:lang w:val="bg-BG"/>
        </w:rPr>
        <w:t>д</w:t>
      </w:r>
      <w:r w:rsidRPr="00503BAC">
        <w:rPr>
          <w:bCs/>
          <w:lang w:val="bg-BG"/>
        </w:rPr>
        <w:t>” от ЗУТ</w:t>
      </w:r>
      <w:r w:rsidR="009D55D2">
        <w:rPr>
          <w:bCs/>
          <w:lang w:val="bg-BG"/>
        </w:rPr>
        <w:t>.</w:t>
      </w:r>
      <w:r w:rsidR="00F30486" w:rsidRPr="00503BAC">
        <w:rPr>
          <w:bCs/>
          <w:lang w:val="bg-BG"/>
        </w:rPr>
        <w:t xml:space="preserve"> 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503BAC">
        <w:rPr>
          <w:bCs/>
          <w:lang w:val="bg-BG"/>
        </w:rPr>
        <w:t xml:space="preserve">- </w:t>
      </w:r>
      <w:r w:rsidR="0093290B" w:rsidRPr="00503BAC">
        <w:rPr>
          <w:bCs/>
          <w:lang w:val="bg-BG"/>
        </w:rPr>
        <w:t>I</w:t>
      </w:r>
      <w:r w:rsidR="00F7279C">
        <w:rPr>
          <w:bCs/>
        </w:rPr>
        <w:t>V</w:t>
      </w:r>
      <w:r w:rsidRPr="00503BAC">
        <w:rPr>
          <w:bCs/>
          <w:lang w:val="bg-BG"/>
        </w:rPr>
        <w:t xml:space="preserve"> - </w:t>
      </w:r>
      <w:r w:rsidR="00F7279C">
        <w:rPr>
          <w:bCs/>
          <w:lang w:val="bg-BG"/>
        </w:rPr>
        <w:t>т</w:t>
      </w:r>
      <w:r w:rsidRPr="00503BAC">
        <w:rPr>
          <w:bCs/>
          <w:lang w:val="bg-BG"/>
        </w:rPr>
        <w:t>а (</w:t>
      </w:r>
      <w:r w:rsidR="00E060E9">
        <w:rPr>
          <w:bCs/>
          <w:lang w:val="bg-BG"/>
        </w:rPr>
        <w:t>четвърта</w:t>
      </w:r>
      <w:r w:rsidRPr="00503BAC">
        <w:rPr>
          <w:bCs/>
          <w:lang w:val="bg-BG"/>
        </w:rPr>
        <w:t>) група строежи, съгласно чл.5, ал.6, т.</w:t>
      </w:r>
      <w:r w:rsidR="00B01EA6">
        <w:rPr>
          <w:bCs/>
          <w:lang w:val="bg-BG"/>
        </w:rPr>
        <w:t>4</w:t>
      </w:r>
      <w:r w:rsidRPr="00503BAC">
        <w:rPr>
          <w:bCs/>
          <w:lang w:val="bg-BG"/>
        </w:rPr>
        <w:t>.</w:t>
      </w:r>
      <w:r w:rsidR="00B01EA6">
        <w:rPr>
          <w:bCs/>
          <w:lang w:val="bg-BG"/>
        </w:rPr>
        <w:t>1</w:t>
      </w:r>
      <w:r w:rsidRPr="00503BAC">
        <w:rPr>
          <w:bCs/>
          <w:lang w:val="bg-BG"/>
        </w:rPr>
        <w:t>.</w:t>
      </w:r>
      <w:r w:rsidR="00B01EA6">
        <w:rPr>
          <w:bCs/>
          <w:lang w:val="bg-BG"/>
        </w:rPr>
        <w:t>3</w:t>
      </w:r>
      <w:r w:rsidRPr="00503BAC">
        <w:rPr>
          <w:bCs/>
          <w:lang w:val="bg-BG"/>
        </w:rPr>
        <w:t>. от Правилника за реда за вписване и водене на централния професионален регистър на строителя (ПРВВЦПРС).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503BAC">
        <w:rPr>
          <w:bCs/>
          <w:lang w:val="bg-BG"/>
        </w:rPr>
        <w:t>По време</w:t>
      </w:r>
      <w:r w:rsidR="00A33861" w:rsidRPr="00503BAC">
        <w:rPr>
          <w:bCs/>
          <w:lang w:val="bg-BG"/>
        </w:rPr>
        <w:t xml:space="preserve"> на</w:t>
      </w:r>
      <w:r w:rsidRPr="00503BAC">
        <w:rPr>
          <w:bCs/>
          <w:lang w:val="bg-BG"/>
        </w:rPr>
        <w:t xml:space="preserve"> изпълнение на строителството, изпълнителят е длъжен да спазва всички нормативни изисквания, указания и предписания на </w:t>
      </w:r>
      <w:r w:rsidR="003F4E87" w:rsidRPr="00503BAC">
        <w:rPr>
          <w:bCs/>
          <w:lang w:val="bg-BG"/>
        </w:rPr>
        <w:t xml:space="preserve">проектанта, строителния </w:t>
      </w:r>
      <w:r w:rsidRPr="00503BAC">
        <w:rPr>
          <w:bCs/>
          <w:lang w:val="bg-BG"/>
        </w:rPr>
        <w:t>надзор,</w:t>
      </w:r>
      <w:r w:rsidR="003F4E87" w:rsidRPr="00503BAC">
        <w:rPr>
          <w:bCs/>
          <w:lang w:val="bg-BG"/>
        </w:rPr>
        <w:t xml:space="preserve"> </w:t>
      </w:r>
      <w:r w:rsidR="009D55D2">
        <w:rPr>
          <w:bCs/>
          <w:lang w:val="bg-BG"/>
        </w:rPr>
        <w:t>проекта,</w:t>
      </w:r>
      <w:r w:rsidRPr="00503BAC">
        <w:rPr>
          <w:bCs/>
          <w:lang w:val="bg-BG"/>
        </w:rPr>
        <w:t xml:space="preserve"> КСС</w:t>
      </w:r>
      <w:r w:rsidR="0093290B">
        <w:rPr>
          <w:bCs/>
          <w:lang w:val="bg-BG"/>
        </w:rPr>
        <w:t>,</w:t>
      </w:r>
      <w:r w:rsidR="009D55D2">
        <w:rPr>
          <w:bCs/>
          <w:lang w:val="bg-BG"/>
        </w:rPr>
        <w:t xml:space="preserve"> съответните контролни органи</w:t>
      </w:r>
      <w:r w:rsidR="0093290B">
        <w:rPr>
          <w:bCs/>
          <w:lang w:val="bg-BG"/>
        </w:rPr>
        <w:t xml:space="preserve"> и заинтересувани страни</w:t>
      </w:r>
      <w:r w:rsidRPr="00503BAC">
        <w:rPr>
          <w:bCs/>
          <w:lang w:val="bg-BG"/>
        </w:rPr>
        <w:t>, а именно: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bCs/>
          <w:lang w:val="bg-BG"/>
        </w:rPr>
      </w:pPr>
      <w:r w:rsidRPr="00503BAC">
        <w:rPr>
          <w:bCs/>
          <w:lang w:val="bg-BG"/>
        </w:rPr>
        <w:t xml:space="preserve">След </w:t>
      </w:r>
      <w:r w:rsidR="0016504D">
        <w:rPr>
          <w:bCs/>
          <w:lang w:val="bg-BG"/>
        </w:rPr>
        <w:t xml:space="preserve">одобряване на техническия инвестиционен проект и </w:t>
      </w:r>
      <w:r w:rsidRPr="00503BAC">
        <w:rPr>
          <w:bCs/>
          <w:lang w:val="bg-BG"/>
        </w:rPr>
        <w:t>влизане в сила на разрешението за строеж, изпълнителят започва строителството, съобразно изискванията на документацията за обществената поръчка, предоставената от него оферта, с която е избран за изпълнител, договора за изпълнение и нормативните изисквания.</w:t>
      </w:r>
    </w:p>
    <w:p w:rsidR="00B8037F" w:rsidRPr="00503BAC" w:rsidRDefault="00785498" w:rsidP="00B32E9E">
      <w:pPr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bCs/>
          <w:lang w:val="bg-BG"/>
        </w:rPr>
        <w:t>Строителните дейности, предмет на поръчката се свежд</w:t>
      </w:r>
      <w:r w:rsidR="00B8037F" w:rsidRPr="00503BAC">
        <w:rPr>
          <w:bCs/>
          <w:lang w:val="bg-BG"/>
        </w:rPr>
        <w:t>ат до следните основни дейности,</w:t>
      </w:r>
      <w:r w:rsidR="00B8037F" w:rsidRPr="00503BAC">
        <w:rPr>
          <w:lang w:val="bg-BG"/>
        </w:rPr>
        <w:t xml:space="preserve"> в това число:</w:t>
      </w:r>
    </w:p>
    <w:p w:rsidR="00B8037F" w:rsidRPr="00503BAC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503BAC">
        <w:rPr>
          <w:lang w:val="bg-BG"/>
        </w:rPr>
        <w:t>временно строителство;</w:t>
      </w:r>
    </w:p>
    <w:p w:rsidR="00B8037F" w:rsidRPr="00503BAC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503BAC">
        <w:rPr>
          <w:lang w:val="bg-BG"/>
        </w:rPr>
        <w:lastRenderedPageBreak/>
        <w:t>демонтажни работи;</w:t>
      </w:r>
    </w:p>
    <w:p w:rsidR="00B8037F" w:rsidRPr="00503BAC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503BAC">
        <w:rPr>
          <w:lang w:val="bg-BG"/>
        </w:rPr>
        <w:t>доставка на необходимите материали и оборудване;</w:t>
      </w:r>
    </w:p>
    <w:p w:rsidR="00B8037F" w:rsidRPr="00503BAC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503BAC">
        <w:rPr>
          <w:lang w:val="bg-BG"/>
        </w:rPr>
        <w:t>строително – монтажни работи;</w:t>
      </w:r>
    </w:p>
    <w:p w:rsidR="00B8037F" w:rsidRPr="00503BAC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503BAC">
        <w:rPr>
          <w:lang w:val="bg-BG"/>
        </w:rPr>
        <w:t>изработване на изпълнителна и екзекутивна документации;</w:t>
      </w:r>
    </w:p>
    <w:p w:rsidR="00B8037F" w:rsidRPr="00503BAC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 w:rsidRPr="00503BAC">
        <w:rPr>
          <w:lang w:val="bg-BG"/>
        </w:rPr>
        <w:t>геодезическо заснемане на кадастрални данни на изградения обект и получаване на удостоверение по чл. 52, ал. 5 от ЗКИР;</w:t>
      </w:r>
    </w:p>
    <w:p w:rsidR="00AF2275" w:rsidRPr="00503BAC" w:rsidRDefault="0016504D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lang w:val="bg-BG"/>
        </w:rPr>
      </w:pPr>
      <w:r>
        <w:rPr>
          <w:lang w:val="bg-BG"/>
        </w:rPr>
        <w:t>лабораторни и други изпитвания свързани с доказване на качествено изпълнени строително монтажни работи;</w:t>
      </w:r>
    </w:p>
    <w:p w:rsidR="00AF2275" w:rsidRPr="00503BAC" w:rsidRDefault="00B8037F" w:rsidP="00AF2275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bCs/>
          <w:lang w:val="bg-BG"/>
        </w:rPr>
      </w:pPr>
      <w:r w:rsidRPr="00503BAC">
        <w:rPr>
          <w:lang w:val="bg-BG"/>
        </w:rPr>
        <w:t>всички дейности по приемане на обекта с Протокол обр. 16 и получаване на разрешение на ползване и/или удостоверение за въвеждане в експлоатация;</w:t>
      </w:r>
    </w:p>
    <w:p w:rsidR="00785498" w:rsidRPr="00503BAC" w:rsidRDefault="00B8037F" w:rsidP="00B8037F">
      <w:pPr>
        <w:pStyle w:val="ae"/>
        <w:numPr>
          <w:ilvl w:val="0"/>
          <w:numId w:val="12"/>
        </w:numPr>
        <w:tabs>
          <w:tab w:val="left" w:pos="945"/>
          <w:tab w:val="left" w:pos="993"/>
        </w:tabs>
        <w:ind w:left="0" w:firstLine="709"/>
        <w:jc w:val="both"/>
        <w:rPr>
          <w:bCs/>
          <w:lang w:val="bg-BG"/>
        </w:rPr>
      </w:pPr>
      <w:r w:rsidRPr="00503BAC">
        <w:rPr>
          <w:lang w:val="bg-BG"/>
        </w:rPr>
        <w:t>дейности по време на периода за съобщаване на дефекти и гаранционен период на строително – монтажните работи съгласно българското законодателство.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lang w:val="bg-BG"/>
        </w:rPr>
      </w:pP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>Изпълнението на горе посочените СМР, трябва да отговаря на следните изисквания:</w:t>
      </w:r>
    </w:p>
    <w:p w:rsidR="00F87089" w:rsidRPr="00503BAC" w:rsidRDefault="00F87089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i/>
          <w:color w:val="000000"/>
          <w:lang w:val="bg-BG"/>
        </w:rPr>
      </w:pPr>
      <w:r w:rsidRPr="00503BAC">
        <w:rPr>
          <w:b/>
          <w:bCs/>
          <w:i/>
          <w:lang w:val="bg-BG"/>
        </w:rPr>
        <w:t xml:space="preserve">Общи изисквания по ЗУТ. </w:t>
      </w:r>
      <w:bookmarkStart w:id="1" w:name="_Toc409109026"/>
      <w:r w:rsidRPr="00503BAC">
        <w:rPr>
          <w:b/>
          <w:bCs/>
          <w:i/>
          <w:lang w:val="bg-BG"/>
        </w:rPr>
        <w:t>Строително-технически норми и правила. Общи изисквания</w:t>
      </w:r>
      <w:r w:rsidRPr="00503BAC">
        <w:rPr>
          <w:b/>
          <w:i/>
          <w:iCs/>
          <w:color w:val="000000"/>
          <w:lang w:val="bg-BG" w:eastAsia="bg-BG"/>
        </w:rPr>
        <w:t xml:space="preserve"> към строежите и изисквания към строителните продукти в областта на </w:t>
      </w:r>
      <w:bookmarkEnd w:id="1"/>
      <w:r w:rsidRPr="00503BAC">
        <w:rPr>
          <w:b/>
          <w:i/>
          <w:iCs/>
          <w:color w:val="000000"/>
          <w:lang w:val="bg-BG" w:eastAsia="bg-BG"/>
        </w:rPr>
        <w:t>строителството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 xml:space="preserve">Изпълнението на СМР за възстановяване на техническата инфраструктура се извършва в съответствие с част трета „Строителство” от ЗУТ и започва след </w:t>
      </w:r>
      <w:r w:rsidR="000C759F" w:rsidRPr="00503BAC">
        <w:rPr>
          <w:lang w:val="bg-BG"/>
        </w:rPr>
        <w:t>подписване на Акт образец 2 за откриване на строителна площадка и даване на линия и ниво за обекта.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>Участниците в строителството и взаимоотношенията между тях по проекта са определени от изискванията на раздел втори, част трета от ЗУТ и от указанията, дадени в тези указания за изпълнение.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>Строителят (физическо или юридическо лице, притежаващо съответната компетентност) изпълнява СМР в съответствие с издадените строителни книжа, условията на договора и изискванията на чл. 163 и чл. 163а от ЗУТ.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>По време на изпълнението на СМР Възложителят ще осигури лицензиран консултант – строителен надзор (чл. 166 от ЗУТ) съобразно изискванията на чл. 168 от ЗУТ.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 xml:space="preserve">Във връзка с точното спазване на инвестиционните проекти при изпълнението на СМР </w:t>
      </w:r>
      <w:r w:rsidR="009E78AA" w:rsidRPr="00503BAC">
        <w:rPr>
          <w:lang w:val="bg-BG"/>
        </w:rPr>
        <w:t>Възложителят осигурява</w:t>
      </w:r>
      <w:r w:rsidRPr="00503BAC">
        <w:rPr>
          <w:lang w:val="bg-BG"/>
        </w:rPr>
        <w:t xml:space="preserve"> посредством отделни правоспособни лица, автори на приложимата проектна документация по части, </w:t>
      </w:r>
      <w:r w:rsidR="009E78AA" w:rsidRPr="00503BAC">
        <w:rPr>
          <w:lang w:val="bg-BG"/>
        </w:rPr>
        <w:t xml:space="preserve">които </w:t>
      </w:r>
      <w:r w:rsidRPr="00503BAC">
        <w:rPr>
          <w:lang w:val="bg-BG"/>
        </w:rPr>
        <w:t>ще осъществява</w:t>
      </w:r>
      <w:r w:rsidR="009E78AA" w:rsidRPr="00503BAC">
        <w:rPr>
          <w:lang w:val="bg-BG"/>
        </w:rPr>
        <w:t>т</w:t>
      </w:r>
      <w:r w:rsidRPr="00503BAC">
        <w:rPr>
          <w:lang w:val="bg-BG"/>
        </w:rPr>
        <w:t xml:space="preserve"> авторски надзор съобразно изисквани</w:t>
      </w:r>
      <w:r w:rsidR="009E78AA" w:rsidRPr="00503BAC">
        <w:rPr>
          <w:lang w:val="bg-BG"/>
        </w:rPr>
        <w:t>ята на чл. 162 от ЗУТ и договор</w:t>
      </w:r>
      <w:r w:rsidRPr="00503BAC">
        <w:rPr>
          <w:lang w:val="bg-BG"/>
        </w:rPr>
        <w:t xml:space="preserve"> за изпълнение. С осъществяването на надзор от проектантите - автори на отделни части на технически проект, се гарантира точното изпълнение на проекта, спазването на архитектурните, технологичните и строителните правила и норми, както и подготовката на проектната документация за въвеждане на обекта в експлоатация.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color w:val="000000"/>
          <w:lang w:val="bg-BG"/>
        </w:rPr>
      </w:pPr>
      <w:r w:rsidRPr="00503BAC">
        <w:rPr>
          <w:lang w:val="bg-BG"/>
        </w:rPr>
        <w:t>Обстоятелствата, свързани със започване, изпълнение и въвеждане в експлоатация (приемане) на СМР, ще се удостоверяват със съставяне и подписване от участниците на съответните актове и протоколи съобразно Наредба № 3 от 2003 г. за съставяне на актове и протоколи по време на строителството.</w:t>
      </w:r>
      <w:r w:rsidRPr="00503BAC">
        <w:rPr>
          <w:color w:val="000000"/>
          <w:lang w:val="bg-BG"/>
        </w:rPr>
        <w:t xml:space="preserve"> 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2" w:name="_Toc409108750"/>
      <w:bookmarkStart w:id="3" w:name="_Toc409109027"/>
      <w:r w:rsidRPr="00503BAC">
        <w:rPr>
          <w:b/>
          <w:bCs/>
          <w:i/>
          <w:lang w:val="bg-BG"/>
        </w:rPr>
        <w:t xml:space="preserve"> Строително-технически норми и правила. Общи изисквания към строежите</w:t>
      </w:r>
      <w:bookmarkEnd w:id="2"/>
      <w:bookmarkEnd w:id="3"/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>Националното законодателство в областта на пътната</w:t>
      </w:r>
      <w:r w:rsidR="00CA20DA">
        <w:rPr>
          <w:lang w:val="bg-BG"/>
        </w:rPr>
        <w:t xml:space="preserve"> и хидротехническата </w:t>
      </w:r>
      <w:r w:rsidRPr="00503BAC">
        <w:rPr>
          <w:lang w:val="bg-BG"/>
        </w:rPr>
        <w:t>инфраструктура</w:t>
      </w:r>
      <w:r w:rsidR="003A3680" w:rsidRPr="00503BAC">
        <w:rPr>
          <w:lang w:val="bg-BG"/>
        </w:rPr>
        <w:t>, в т.ч. и „Техническа спецификация  2014 г.” одобрена от изпълнителен директор на АПИ</w:t>
      </w:r>
      <w:r w:rsidR="001C7FAE" w:rsidRPr="00503BAC">
        <w:rPr>
          <w:lang w:val="bg-BG"/>
        </w:rPr>
        <w:t>; и други нормативни документи съотносими към обхвата и естеството на изпълнявания обект.</w:t>
      </w: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lang w:val="bg-BG"/>
        </w:rPr>
      </w:pPr>
      <w:r w:rsidRPr="00503BAC">
        <w:rPr>
          <w:lang w:val="bg-BG"/>
        </w:rPr>
        <w:t>Техническото изпълнение на строителството трябва да бъде изпълнено в съответствие с изискванията на българската нормативна уредба, техническите спецификации на вложените в строежа строителни продукти, материали и оборудване, и добрите строителни практики в България и в Европа.</w:t>
      </w:r>
    </w:p>
    <w:p w:rsidR="00785498" w:rsidRPr="00503BAC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503BAC">
        <w:rPr>
          <w:lang w:val="bg-BG"/>
        </w:rPr>
        <w:t>Общи изисквания към строежите и изисквания към строителните продукти и материали за трайно влагане в строежите</w:t>
      </w:r>
    </w:p>
    <w:p w:rsidR="00785498" w:rsidRPr="00503BAC" w:rsidRDefault="00785498" w:rsidP="00B8037F">
      <w:pPr>
        <w:numPr>
          <w:ilvl w:val="0"/>
          <w:numId w:val="8"/>
        </w:numPr>
        <w:tabs>
          <w:tab w:val="left" w:pos="993"/>
        </w:tabs>
        <w:snapToGrid w:val="0"/>
        <w:ind w:left="0" w:firstLine="709"/>
        <w:jc w:val="both"/>
        <w:rPr>
          <w:lang w:val="bg-BG"/>
        </w:rPr>
      </w:pPr>
      <w:r w:rsidRPr="00503BAC">
        <w:rPr>
          <w:lang w:val="bg-BG"/>
        </w:rPr>
        <w:lastRenderedPageBreak/>
        <w:t>Съгласно Наредбата за съществените изисквания към строежите и оценяване</w:t>
      </w:r>
      <w:r w:rsidRPr="00503BAC">
        <w:rPr>
          <w:color w:val="000000"/>
          <w:shd w:val="clear" w:color="auto" w:fill="FFFFFF"/>
          <w:lang w:val="bg-BG"/>
        </w:rPr>
        <w:t xml:space="preserve"> съответствието на строителните продукти, основните изисквания към строежите по чл. 169, ал. 1 ЗУТ са изискванията, при изпълнението на които се постига осигуряване на безопасността и здравето на хората, безопасността на домашните животни и опазването на околната среда и имуществото и които се отнасят до предвидими въздействия.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С отчитане на горните нормативни изисквания, всички строителни продукти и материали, които се влагат при изпълнението на СМР, трябва да имат оценено съответствие съгласно горепосочената наредба.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Строежът трябва да бъде изпълнен по такъв начин, че да не представлява заплаха за хигиената или здравето на населението и за опазването на околната среда при:</w:t>
      </w:r>
    </w:p>
    <w:p w:rsidR="00785498" w:rsidRPr="00503BAC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отделяне на отровни газове;</w:t>
      </w:r>
    </w:p>
    <w:p w:rsidR="00785498" w:rsidRPr="00503BAC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наличие на опасни частици или газове във въздуха;</w:t>
      </w:r>
    </w:p>
    <w:p w:rsidR="00785498" w:rsidRPr="00503BAC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излъчване на опасна радиация;</w:t>
      </w:r>
    </w:p>
    <w:p w:rsidR="00785498" w:rsidRPr="00503BAC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замърсяване или отравяне на водата или почвата;</w:t>
      </w:r>
    </w:p>
    <w:p w:rsidR="00785498" w:rsidRPr="00503BAC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 xml:space="preserve">неправилно отвеждане на отпадъчни води, дим, твърди или течни отпадъци; </w:t>
      </w:r>
    </w:p>
    <w:p w:rsidR="00785498" w:rsidRPr="00503BAC" w:rsidRDefault="00785498" w:rsidP="00B8037F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наличие на влага в части от строежа или по повърхности във вътрешността на строежа.</w:t>
      </w:r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503BAC">
        <w:rPr>
          <w:b/>
          <w:bCs/>
          <w:i/>
          <w:lang w:val="bg-BG"/>
        </w:rPr>
        <w:t xml:space="preserve"> Изисквания към доставка на материалите: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Всяка доставка на строителната площадката и/или в складовете на Изпълнителя на строителни продукти</w:t>
      </w:r>
      <w:r w:rsidR="00D9746F" w:rsidRPr="00503BAC">
        <w:rPr>
          <w:color w:val="000000"/>
          <w:shd w:val="clear" w:color="auto" w:fill="FFFFFF"/>
          <w:lang w:val="bg-BG"/>
        </w:rPr>
        <w:t>,</w:t>
      </w:r>
      <w:r w:rsidRPr="00503BAC">
        <w:rPr>
          <w:color w:val="000000"/>
          <w:shd w:val="clear" w:color="auto" w:fill="FFFFFF"/>
          <w:lang w:val="bg-BG"/>
        </w:rPr>
        <w:t xml:space="preserve"> които съответстват на европейските технически спецификации, трябва да има СЕ маркировка за съответствие, придружени от ЕО декларация за съответствие и от указания за прилагане, изготвени на български език.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На строежа следва да бъдат доставени само строителни продукти, които притежават съответните технически характеристики за влагане, съответстващи на техническите правила, норми и нормативи, определени със съответните нормативни актове за проектиране и строителство.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Всяка доставка се контролира от консултантът, упражняващ строителен надзор на строежа</w:t>
      </w:r>
      <w:r w:rsidR="00441843">
        <w:rPr>
          <w:color w:val="000000"/>
          <w:shd w:val="clear" w:color="auto" w:fill="FFFFFF"/>
          <w:lang w:val="bg-BG"/>
        </w:rPr>
        <w:t xml:space="preserve"> и лицето упражняващ авторски надзор</w:t>
      </w:r>
      <w:r w:rsidRPr="00503BAC">
        <w:rPr>
          <w:color w:val="000000"/>
          <w:shd w:val="clear" w:color="auto" w:fill="FFFFFF"/>
          <w:lang w:val="bg-BG"/>
        </w:rPr>
        <w:t>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Доставката на всички продукти, материали и оборудване, необходими за изпълнение на строителните и монтажните работи е задължение на Изпълнителя.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В строежите трябва да бъдат вложени материали, определени в проектите, отговарящи на изискванията в българските и/или европейските стандарти.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Изпълнителят предварително трябва да съгласува с Възложителя всички влагани в строителството материали и др. подобни. Всяка промяна в одобрения проект да бъде съгласувана и приета от Възложителя</w:t>
      </w:r>
      <w:r w:rsidR="003E5AB0">
        <w:rPr>
          <w:color w:val="000000"/>
          <w:shd w:val="clear" w:color="auto" w:fill="FFFFFF"/>
          <w:lang w:val="bg-BG"/>
        </w:rPr>
        <w:t>, строителния надзор и авторския надзор</w:t>
      </w:r>
      <w:r w:rsidRPr="00503BAC">
        <w:rPr>
          <w:color w:val="000000"/>
          <w:shd w:val="clear" w:color="auto" w:fill="FFFFFF"/>
          <w:lang w:val="bg-BG"/>
        </w:rPr>
        <w:t>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Редът за прилагане на техническите спецификации на строителните продукти е в съответствие с Регламент № 305, чл. 5, ал. 2  и 3 от ЗТИП и Наредбата за съществените изисквания към строежите и оценяване на съответствието на строителните продукти. Строителните продукти се влагат в строежите въз основа на съставени декларации, посочващи предвидената употреба и се придружават от инструкция и информация за безопасност на български език. Декларациите са: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503BAC">
        <w:rPr>
          <w:lang w:val="bg-BG" w:eastAsia="bg-BG"/>
        </w:rPr>
        <w:t xml:space="preserve">1) </w:t>
      </w:r>
      <w:r w:rsidRPr="00503BAC">
        <w:rPr>
          <w:i/>
          <w:iCs/>
          <w:lang w:val="bg-BG" w:eastAsia="bg-BG"/>
        </w:rPr>
        <w:t>декларация за експлоатационни показатели</w:t>
      </w:r>
      <w:r w:rsidRPr="00503BAC">
        <w:rPr>
          <w:lang w:val="bg-BG" w:eastAsia="bg-BG"/>
        </w:rPr>
        <w:t xml:space="preserve"> съгласно изискванията на Регламент (ЕС) № 305/2011 и образеца, даден в приложение ІІІ на Регламент (ЕС) № 305/2011, когато за строителния продукт има хармонизиран европейски стандарт или е издадена Европейска техническа оценка. При съставена декларация за експлоатационни показатели на строителен продукт се нанася маркировка „СЕ“ ;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503BAC">
        <w:rPr>
          <w:lang w:val="bg-BG" w:eastAsia="bg-BG"/>
        </w:rPr>
        <w:t xml:space="preserve">2) </w:t>
      </w:r>
      <w:r w:rsidRPr="00503BAC">
        <w:rPr>
          <w:i/>
          <w:iCs/>
          <w:lang w:val="bg-BG" w:eastAsia="bg-BG"/>
        </w:rPr>
        <w:t>декларация за характеристиките на строителния продукт</w:t>
      </w:r>
      <w:r w:rsidRPr="00503BAC">
        <w:rPr>
          <w:lang w:val="bg-BG" w:eastAsia="bg-BG"/>
        </w:rPr>
        <w:t>, когато той не е обхванат от хармонизиран европейски стандарт или за него не е издадена ЕТО. При съставена декларация за характеристиките на строителен продукт не се нанася маркировката „СЕ“;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503BAC">
        <w:rPr>
          <w:lang w:val="bg-BG" w:eastAsia="bg-BG"/>
        </w:rPr>
        <w:t>3)</w:t>
      </w:r>
      <w:r w:rsidRPr="00503BAC">
        <w:rPr>
          <w:b/>
          <w:bCs/>
          <w:lang w:val="bg-BG" w:eastAsia="bg-BG"/>
        </w:rPr>
        <w:t xml:space="preserve"> </w:t>
      </w:r>
      <w:r w:rsidRPr="00503BAC">
        <w:rPr>
          <w:i/>
          <w:iCs/>
          <w:lang w:val="bg-BG" w:eastAsia="bg-BG"/>
        </w:rPr>
        <w:t>декларация за съответствие с изискванията на инвестиционния проект</w:t>
      </w:r>
      <w:r w:rsidRPr="00503BAC">
        <w:rPr>
          <w:lang w:val="bg-BG" w:eastAsia="bg-BG"/>
        </w:rPr>
        <w:t>, когато  строителните продукти са произведени индивидуално или по заявка, не чрез серийно производство, за влагане в един единствен строеж.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  <w:r w:rsidRPr="00503BAC">
        <w:rPr>
          <w:lang w:val="bg-BG" w:eastAsia="bg-BG"/>
        </w:rPr>
        <w:lastRenderedPageBreak/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785498" w:rsidRPr="00503BAC" w:rsidRDefault="00785498" w:rsidP="00B8037F">
      <w:pPr>
        <w:tabs>
          <w:tab w:val="left" w:pos="993"/>
        </w:tabs>
        <w:ind w:firstLine="709"/>
        <w:jc w:val="both"/>
        <w:rPr>
          <w:lang w:val="bg-BG" w:eastAsia="bg-BG"/>
        </w:rPr>
      </w:pPr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503BAC">
        <w:rPr>
          <w:b/>
          <w:bCs/>
          <w:i/>
          <w:lang w:val="bg-BG"/>
        </w:rPr>
        <w:t>Други изисквания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Изпълнителят е задължен да изпълни възложените работи и да осигури работна ръка, материали, строителни съоръжения, заготовки, изделия и всичко друго необходимо за изпълнение на строежа.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Изпълнителят точно и надлежно трябва да изпълни договорените работи според одобрения от Възложителя инвестиционен проект и качество, съответстващо на БДС. Да съблюдава и спазва всички норми за предаване и приемане на СМР и всички други нормативни изисквания. При възникнали грешки от страна на Изпълнителя,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 xml:space="preserve">Изпълнителят трябва да осигури и съхранява Заповедната книга на строежа. Всички предписания в Заповедната книга да се приемат и изпълняват само ако са одобрени и подписани от посочен представител на Възложителя. </w:t>
      </w:r>
    </w:p>
    <w:p w:rsidR="00785498" w:rsidRPr="00503BAC" w:rsidRDefault="00785498" w:rsidP="00B8037F">
      <w:pPr>
        <w:keepNext/>
        <w:keepLines/>
        <w:widowControl w:val="0"/>
        <w:tabs>
          <w:tab w:val="left" w:pos="709"/>
          <w:tab w:val="left" w:pos="993"/>
        </w:tabs>
        <w:ind w:firstLine="709"/>
        <w:outlineLvl w:val="2"/>
        <w:rPr>
          <w:i/>
          <w:color w:val="000000"/>
          <w:sz w:val="20"/>
          <w:shd w:val="clear" w:color="auto" w:fill="FFFFFF"/>
          <w:lang w:val="bg-BG"/>
        </w:rPr>
      </w:pPr>
      <w:bookmarkStart w:id="4" w:name="bookmark7"/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r w:rsidRPr="00503BAC">
        <w:rPr>
          <w:b/>
          <w:bCs/>
          <w:i/>
          <w:lang w:val="bg-BG"/>
        </w:rPr>
        <w:t>Изисквания относно осигуряване на безопасни и здравословни условия на труд. План за безопасност и здраве.</w:t>
      </w:r>
      <w:bookmarkEnd w:id="4"/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По време на изпълнение на строителните и монтажните работи Изпълнителят трябва да спазва изискванията на Наредба № 2 от 2004 г. за минимални изисквания за здравословни и безопасни условия на труд при извършване на строителни и монтажни работи, както и по всички други действащи нормативни актове и стандарти относно безопасността и хигиената на труда, техническата и пожарната безопасност при строителство и експлоатация на подобни обекти, а също и да се грижи за сигурността на всички лица, които се намират на строителната площадка.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Изпълнителят е длъжен да спазва изискванията на нормативните документи в страната по безопасност и хигиена на труда, пожарна безопасност, екологични изисквания и други свързани със строителството по действащите в страната стандарти и технически нормативни документи за строителство.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 xml:space="preserve">Изпълнителят е длъжен да спазва одобрения от Възложителя и </w:t>
      </w:r>
      <w:r w:rsidR="00E8143C" w:rsidRPr="00503BAC">
        <w:rPr>
          <w:color w:val="000000"/>
          <w:shd w:val="clear" w:color="auto" w:fill="FFFFFF"/>
          <w:lang w:val="bg-BG"/>
        </w:rPr>
        <w:t>компетентните</w:t>
      </w:r>
      <w:r w:rsidRPr="00503BAC">
        <w:rPr>
          <w:color w:val="000000"/>
          <w:shd w:val="clear" w:color="auto" w:fill="FFFFFF"/>
          <w:lang w:val="bg-BG"/>
        </w:rPr>
        <w:t xml:space="preserve"> органи План за безопасност и здраве за строежа Възложителят, чрез Консултанта изпълняващ строителен надзор, ще осигури Координатор по безопасност и здраве за етапа на строителството в съответствие с изискванията на Наредба № 2 от 2004 г. за минимални изисквания за здравословни и безопасни условия на труд при извършване на строителни и монтажни работи.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5" w:name="bookmark8"/>
      <w:r w:rsidRPr="00503BAC">
        <w:rPr>
          <w:b/>
          <w:bCs/>
          <w:i/>
          <w:lang w:val="bg-BG"/>
        </w:rPr>
        <w:t xml:space="preserve"> Изисквания относно опазване на околната среда.</w:t>
      </w:r>
      <w:bookmarkEnd w:id="5"/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При изпълнение на строителните и монтажните работи Изпълнителят трябва да ограничи своите действия в рамките само на строителната площадка.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След приключване на строителните и монтажните работи Изпълнителят е длъжен да възстанови строителната площадка в първоначалния вид - да изтегли цялата си механизация и невложените материали и да остави площадката чиста от отпадъци.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6" w:name="bookmark9"/>
      <w:r w:rsidRPr="00503BAC">
        <w:rPr>
          <w:b/>
          <w:bCs/>
          <w:i/>
          <w:lang w:val="bg-BG"/>
        </w:rPr>
        <w:t xml:space="preserve"> Системи за проверка и контрол на работите в процеса на тяхното изпълнение.</w:t>
      </w:r>
      <w:bookmarkEnd w:id="6"/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Възложителят ще осигури Консултант, който ще упражняване строителен надзор съгласно чл. 166, ал. 1, т.1 от ЗУТ.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Възложителят и/или Консултантът може по всяко време да инспектират работите, да контролират технологията на изпълнението и да издават инструкции за отстраняване на дефекти, съобразно изискванията на специфицираната технология и начин на изпълнение. В случай на констатирани сериозни дефекти, отклонения и ниско качествено изпълнение, работите се спират и Възложителят уведомява Изпълнителя за нарушения в договора.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lastRenderedPageBreak/>
        <w:t>Всички дефектни материали и оборудване се отстраняват от строежа, а дефектните работи се разрушават за сметка на Изпълнителя. В случай на оспорване се прилагат съответните стандарти и правилници и се извършват съответните изпитания.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</w:p>
    <w:p w:rsidR="00785498" w:rsidRPr="00503BAC" w:rsidRDefault="00785498" w:rsidP="00B8037F">
      <w:pPr>
        <w:numPr>
          <w:ilvl w:val="0"/>
          <w:numId w:val="2"/>
        </w:numPr>
        <w:tabs>
          <w:tab w:val="left" w:pos="993"/>
        </w:tabs>
        <w:suppressAutoHyphens/>
        <w:snapToGrid w:val="0"/>
        <w:ind w:left="0" w:firstLine="709"/>
        <w:jc w:val="both"/>
        <w:rPr>
          <w:b/>
          <w:bCs/>
          <w:i/>
          <w:lang w:val="bg-BG"/>
        </w:rPr>
      </w:pPr>
      <w:bookmarkStart w:id="7" w:name="bookmark10"/>
      <w:r w:rsidRPr="00503BAC">
        <w:rPr>
          <w:b/>
          <w:bCs/>
          <w:i/>
          <w:lang w:val="bg-BG"/>
        </w:rPr>
        <w:t xml:space="preserve"> Контрол на качеството; Проверки и изпитвания.</w:t>
      </w:r>
      <w:bookmarkEnd w:id="7"/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b/>
          <w:bCs/>
          <w:i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Изпълнителят е длъжен да осигури контрол на качеството на влаганите материали и контрол при изпълнение на СРР и СМР, чрез внедрените в добрата практика методи.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Изпълнителят е длъжен да осигурява винаги достъп до строителната площадка на упълномощен</w:t>
      </w:r>
      <w:r w:rsidR="00BC65A6">
        <w:rPr>
          <w:color w:val="000000"/>
          <w:shd w:val="clear" w:color="auto" w:fill="FFFFFF"/>
          <w:lang w:val="bg-BG"/>
        </w:rPr>
        <w:t>и представители на Възложителя,</w:t>
      </w:r>
      <w:r w:rsidRPr="00503BAC">
        <w:rPr>
          <w:color w:val="000000"/>
          <w:shd w:val="clear" w:color="auto" w:fill="FFFFFF"/>
          <w:lang w:val="bg-BG"/>
        </w:rPr>
        <w:t xml:space="preserve"> Консултанта</w:t>
      </w:r>
      <w:r w:rsidR="00BC65A6">
        <w:rPr>
          <w:color w:val="000000"/>
          <w:shd w:val="clear" w:color="auto" w:fill="FFFFFF"/>
          <w:lang w:val="bg-BG"/>
        </w:rPr>
        <w:t xml:space="preserve"> и авторския надзор</w:t>
      </w:r>
      <w:r w:rsidRPr="00503BAC">
        <w:rPr>
          <w:color w:val="000000"/>
          <w:shd w:val="clear" w:color="auto" w:fill="FFFFFF"/>
          <w:lang w:val="bg-BG"/>
        </w:rPr>
        <w:t>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Изпитванията и измерванията на извършените строително - монтажни работи следва да се изпълняват от сертифицирани лаборатории и да се удостоверяват с протоколи.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Текущият контрол от Изпълнителя на строително-монтажните работи следва да се извършва по начин,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контрол.</w:t>
      </w:r>
    </w:p>
    <w:p w:rsidR="00CF5F3F" w:rsidRPr="00503BAC" w:rsidRDefault="00CF5F3F" w:rsidP="00CF5F3F">
      <w:pPr>
        <w:widowControl w:val="0"/>
        <w:tabs>
          <w:tab w:val="left" w:pos="993"/>
        </w:tabs>
        <w:ind w:firstLine="709"/>
        <w:jc w:val="both"/>
        <w:rPr>
          <w:lang w:val="bg-BG"/>
        </w:rPr>
      </w:pPr>
      <w:r w:rsidRPr="00503BAC">
        <w:rPr>
          <w:lang w:val="bg-BG"/>
        </w:rPr>
        <w:t>Изпълнителят трябва да представи изготвен за негова сметка доклад от лицензиран орган за контрол за детските площадки.</w:t>
      </w:r>
    </w:p>
    <w:p w:rsidR="001C0EFC" w:rsidRPr="00503BAC" w:rsidRDefault="001C0EFC" w:rsidP="00B8037F">
      <w:pPr>
        <w:tabs>
          <w:tab w:val="left" w:pos="993"/>
        </w:tabs>
        <w:snapToGrid w:val="0"/>
        <w:ind w:firstLine="709"/>
        <w:jc w:val="both"/>
        <w:rPr>
          <w:b/>
          <w:bCs/>
          <w:i/>
          <w:iCs/>
          <w:color w:val="000000"/>
          <w:lang w:val="bg-BG" w:eastAsia="bg-BG"/>
        </w:rPr>
      </w:pPr>
    </w:p>
    <w:p w:rsidR="001C0EFC" w:rsidRPr="00503BAC" w:rsidRDefault="001C0EFC" w:rsidP="00B8037F">
      <w:pPr>
        <w:tabs>
          <w:tab w:val="left" w:pos="993"/>
        </w:tabs>
        <w:snapToGrid w:val="0"/>
        <w:ind w:firstLine="709"/>
        <w:jc w:val="both"/>
        <w:rPr>
          <w:b/>
          <w:bCs/>
          <w:i/>
          <w:iCs/>
          <w:color w:val="000000"/>
          <w:lang w:val="bg-BG" w:eastAsia="bg-BG"/>
        </w:rPr>
      </w:pPr>
    </w:p>
    <w:p w:rsidR="00785498" w:rsidRPr="00503BAC" w:rsidRDefault="00785498" w:rsidP="00B8037F">
      <w:pPr>
        <w:tabs>
          <w:tab w:val="left" w:pos="993"/>
        </w:tabs>
        <w:snapToGrid w:val="0"/>
        <w:ind w:firstLine="709"/>
        <w:jc w:val="both"/>
        <w:rPr>
          <w:b/>
          <w:bCs/>
          <w:i/>
          <w:iCs/>
          <w:color w:val="000000"/>
          <w:lang w:val="bg-BG" w:eastAsia="bg-BG"/>
        </w:rPr>
      </w:pPr>
      <w:r w:rsidRPr="00503BAC">
        <w:rPr>
          <w:b/>
          <w:bCs/>
          <w:i/>
          <w:iCs/>
          <w:color w:val="000000"/>
          <w:lang w:val="bg-BG" w:eastAsia="bg-BG"/>
        </w:rPr>
        <w:t>Текущ контрол по време на строителния процес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Осъществява се от:</w:t>
      </w:r>
    </w:p>
    <w:p w:rsidR="00785498" w:rsidRPr="00503BAC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Външен изпълнител за изпълнение на строителен надзор</w:t>
      </w:r>
      <w:r w:rsidR="00221006" w:rsidRPr="00503BAC">
        <w:rPr>
          <w:color w:val="000000"/>
          <w:shd w:val="clear" w:color="auto" w:fill="FFFFFF"/>
          <w:lang w:val="bg-BG"/>
        </w:rPr>
        <w:t xml:space="preserve"> и инвеститорски контрол</w:t>
      </w:r>
      <w:r w:rsidRPr="00503BAC">
        <w:rPr>
          <w:color w:val="000000"/>
          <w:shd w:val="clear" w:color="auto" w:fill="FFFFFF"/>
          <w:lang w:val="bg-BG"/>
        </w:rPr>
        <w:t>;</w:t>
      </w:r>
    </w:p>
    <w:p w:rsidR="00785498" w:rsidRPr="00503BAC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Техническите експерти на общината в качеството й на Възложител ще осъществяват контрол</w:t>
      </w:r>
      <w:r w:rsidR="00221006" w:rsidRPr="00503BAC">
        <w:rPr>
          <w:color w:val="000000"/>
          <w:shd w:val="clear" w:color="auto" w:fill="FFFFFF"/>
          <w:lang w:val="bg-BG"/>
        </w:rPr>
        <w:t xml:space="preserve"> по изпълнение на договорите</w:t>
      </w:r>
      <w:r w:rsidRPr="00503BAC">
        <w:rPr>
          <w:color w:val="000000"/>
          <w:shd w:val="clear" w:color="auto" w:fill="FFFFFF"/>
          <w:lang w:val="bg-BG"/>
        </w:rPr>
        <w:t xml:space="preserve"> и проверки на място.</w:t>
      </w:r>
    </w:p>
    <w:p w:rsidR="00785498" w:rsidRPr="00503BAC" w:rsidRDefault="00785498" w:rsidP="00B8037F">
      <w:pPr>
        <w:widowControl w:val="0"/>
        <w:tabs>
          <w:tab w:val="left" w:pos="993"/>
        </w:tabs>
        <w:ind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относно:</w:t>
      </w:r>
    </w:p>
    <w:p w:rsidR="00785498" w:rsidRPr="00503BAC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съответствие на изпълняваните на обекта работи по вид и количество с одобрените строителни книжа и КСС;</w:t>
      </w:r>
    </w:p>
    <w:p w:rsidR="00785498" w:rsidRPr="00503BAC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съответствие на влаганите на обекта строителни продукти с предвидените в проектосметната документация към договора – техническа спецификация, КСС, оферта на изпълнителя и др.;</w:t>
      </w:r>
    </w:p>
    <w:p w:rsidR="00785498" w:rsidRPr="00503BAC" w:rsidRDefault="00785498" w:rsidP="00B8037F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/>
          <w:shd w:val="clear" w:color="auto" w:fill="FFFFFF"/>
          <w:lang w:val="bg-BG"/>
        </w:rPr>
      </w:pPr>
      <w:r w:rsidRPr="00503BAC">
        <w:rPr>
          <w:color w:val="000000"/>
          <w:shd w:val="clear" w:color="auto" w:fill="FFFFFF"/>
          <w:lang w:val="bg-BG"/>
        </w:rPr>
        <w:t>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планове.</w:t>
      </w:r>
    </w:p>
    <w:p w:rsidR="00785498" w:rsidRPr="00503BAC" w:rsidRDefault="00785498" w:rsidP="00B8037F">
      <w:pPr>
        <w:pStyle w:val="Style11"/>
        <w:widowControl/>
        <w:tabs>
          <w:tab w:val="left" w:pos="993"/>
        </w:tabs>
        <w:ind w:firstLine="709"/>
        <w:rPr>
          <w:b/>
          <w:i/>
        </w:rPr>
      </w:pPr>
    </w:p>
    <w:p w:rsidR="00126089" w:rsidRPr="00503BAC" w:rsidRDefault="00126089" w:rsidP="00B8037F">
      <w:pPr>
        <w:tabs>
          <w:tab w:val="left" w:pos="993"/>
        </w:tabs>
        <w:ind w:firstLine="709"/>
        <w:rPr>
          <w:lang w:val="bg-BG"/>
        </w:rPr>
      </w:pPr>
      <w:bookmarkStart w:id="8" w:name="bookmark4"/>
      <w:bookmarkEnd w:id="8"/>
    </w:p>
    <w:p w:rsidR="003A3680" w:rsidRPr="00503BAC" w:rsidRDefault="003A3680" w:rsidP="00B8037F">
      <w:pPr>
        <w:tabs>
          <w:tab w:val="left" w:pos="993"/>
        </w:tabs>
        <w:ind w:firstLine="709"/>
        <w:rPr>
          <w:lang w:val="bg-BG"/>
        </w:rPr>
      </w:pPr>
    </w:p>
    <w:p w:rsidR="003A3680" w:rsidRPr="00503BAC" w:rsidRDefault="003A3680" w:rsidP="00EB477D">
      <w:pPr>
        <w:tabs>
          <w:tab w:val="left" w:pos="993"/>
        </w:tabs>
        <w:rPr>
          <w:lang w:val="bg-BG"/>
        </w:rPr>
      </w:pPr>
      <w:r w:rsidRPr="00503BAC">
        <w:rPr>
          <w:lang w:val="bg-BG"/>
        </w:rPr>
        <w:t>Изготвил:</w:t>
      </w:r>
    </w:p>
    <w:p w:rsidR="003A3680" w:rsidRPr="00503BAC" w:rsidRDefault="003A3680" w:rsidP="00B8037F">
      <w:pPr>
        <w:tabs>
          <w:tab w:val="left" w:pos="993"/>
        </w:tabs>
        <w:ind w:firstLine="709"/>
        <w:rPr>
          <w:lang w:val="bg-BG"/>
        </w:rPr>
      </w:pPr>
      <w:r w:rsidRPr="00503BAC">
        <w:rPr>
          <w:lang w:val="bg-BG"/>
        </w:rPr>
        <w:t xml:space="preserve">            /инж. Мая Кръстева/ </w:t>
      </w:r>
    </w:p>
    <w:p w:rsidR="003A3680" w:rsidRDefault="003A3680" w:rsidP="00B8037F">
      <w:pPr>
        <w:tabs>
          <w:tab w:val="left" w:pos="993"/>
        </w:tabs>
        <w:ind w:firstLine="709"/>
        <w:rPr>
          <w:lang w:val="bg-BG"/>
        </w:rPr>
      </w:pPr>
      <w:r w:rsidRPr="00503BAC">
        <w:rPr>
          <w:lang w:val="bg-BG"/>
        </w:rPr>
        <w:t xml:space="preserve">      Директор Дирекция УТКС</w:t>
      </w:r>
    </w:p>
    <w:p w:rsidR="007E66B7" w:rsidRPr="00503BAC" w:rsidRDefault="007E66B7" w:rsidP="00B8037F">
      <w:pPr>
        <w:tabs>
          <w:tab w:val="left" w:pos="993"/>
        </w:tabs>
        <w:ind w:firstLine="709"/>
        <w:rPr>
          <w:lang w:val="bg-BG"/>
        </w:rPr>
      </w:pPr>
      <w:r>
        <w:rPr>
          <w:lang w:val="bg-BG"/>
        </w:rPr>
        <w:t xml:space="preserve"> Технически сътрудник на проекта</w:t>
      </w:r>
    </w:p>
    <w:p w:rsidR="003952FD" w:rsidRPr="00503BAC" w:rsidRDefault="003952FD" w:rsidP="00B8037F">
      <w:pPr>
        <w:tabs>
          <w:tab w:val="left" w:pos="993"/>
        </w:tabs>
        <w:ind w:firstLine="709"/>
        <w:rPr>
          <w:lang w:val="bg-BG"/>
        </w:rPr>
      </w:pPr>
    </w:p>
    <w:p w:rsidR="003952FD" w:rsidRPr="00503BAC" w:rsidRDefault="003952FD" w:rsidP="00B8037F">
      <w:pPr>
        <w:tabs>
          <w:tab w:val="left" w:pos="993"/>
        </w:tabs>
        <w:ind w:firstLine="709"/>
        <w:rPr>
          <w:lang w:val="bg-BG"/>
        </w:rPr>
      </w:pPr>
    </w:p>
    <w:p w:rsidR="003952FD" w:rsidRPr="00503BAC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503BAC">
        <w:rPr>
          <w:b/>
          <w:lang w:val="bg-BG"/>
        </w:rPr>
        <w:t>Съгласували:</w:t>
      </w:r>
    </w:p>
    <w:p w:rsidR="003952FD" w:rsidRPr="00503BAC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503BAC">
        <w:rPr>
          <w:b/>
          <w:lang w:val="bg-BG"/>
        </w:rPr>
        <w:t>инж. Димитър Наков</w:t>
      </w:r>
    </w:p>
    <w:p w:rsidR="003952FD" w:rsidRPr="00503BAC" w:rsidRDefault="003952FD" w:rsidP="00EB477D">
      <w:pPr>
        <w:pStyle w:val="af0"/>
        <w:ind w:left="0" w:firstLine="0"/>
        <w:jc w:val="both"/>
        <w:rPr>
          <w:i/>
          <w:lang w:val="bg-BG"/>
        </w:rPr>
      </w:pPr>
      <w:r w:rsidRPr="00503BAC">
        <w:rPr>
          <w:i/>
          <w:lang w:val="bg-BG"/>
        </w:rPr>
        <w:t>Заместник кмет УТ</w:t>
      </w:r>
      <w:r w:rsidR="007E66B7">
        <w:rPr>
          <w:i/>
          <w:lang w:val="bg-BG"/>
        </w:rPr>
        <w:t xml:space="preserve"> и Ръководител проект</w:t>
      </w:r>
    </w:p>
    <w:p w:rsidR="003952FD" w:rsidRPr="00503BAC" w:rsidRDefault="003952FD" w:rsidP="00EB477D">
      <w:pPr>
        <w:pStyle w:val="af0"/>
        <w:ind w:left="0" w:firstLine="0"/>
        <w:jc w:val="both"/>
        <w:rPr>
          <w:lang w:val="bg-BG"/>
        </w:rPr>
      </w:pPr>
    </w:p>
    <w:p w:rsidR="003952FD" w:rsidRPr="00503BAC" w:rsidRDefault="003952FD" w:rsidP="00EB477D">
      <w:pPr>
        <w:pStyle w:val="af0"/>
        <w:ind w:left="0" w:firstLine="0"/>
        <w:jc w:val="both"/>
        <w:rPr>
          <w:b/>
          <w:lang w:val="bg-BG"/>
        </w:rPr>
      </w:pPr>
      <w:r w:rsidRPr="00503BAC">
        <w:rPr>
          <w:b/>
          <w:lang w:val="bg-BG"/>
        </w:rPr>
        <w:t>Арх. Живка Бучуковска</w:t>
      </w:r>
    </w:p>
    <w:p w:rsidR="003952FD" w:rsidRPr="00503BAC" w:rsidRDefault="003952FD" w:rsidP="00EB477D">
      <w:pPr>
        <w:pStyle w:val="af0"/>
        <w:ind w:left="0" w:firstLine="0"/>
        <w:jc w:val="both"/>
        <w:rPr>
          <w:i/>
          <w:lang w:val="bg-BG"/>
        </w:rPr>
      </w:pPr>
      <w:r w:rsidRPr="00503BAC">
        <w:rPr>
          <w:i/>
          <w:lang w:val="bg-BG"/>
        </w:rPr>
        <w:t>Гл. Архитект на Община Русе</w:t>
      </w:r>
      <w:r w:rsidR="007E66B7">
        <w:rPr>
          <w:i/>
          <w:lang w:val="bg-BG"/>
        </w:rPr>
        <w:t xml:space="preserve"> и Вътрешен инвеститорски контрол по проекта</w:t>
      </w:r>
    </w:p>
    <w:p w:rsidR="003952FD" w:rsidRPr="00503BAC" w:rsidRDefault="003952FD" w:rsidP="00B8037F">
      <w:pPr>
        <w:tabs>
          <w:tab w:val="left" w:pos="993"/>
        </w:tabs>
        <w:ind w:firstLine="709"/>
        <w:rPr>
          <w:lang w:val="bg-BG"/>
        </w:rPr>
      </w:pPr>
    </w:p>
    <w:sectPr w:rsidR="003952FD" w:rsidRPr="00503BAC" w:rsidSect="00EB477D">
      <w:headerReference w:type="default" r:id="rId8"/>
      <w:footerReference w:type="even" r:id="rId9"/>
      <w:headerReference w:type="first" r:id="rId10"/>
      <w:pgSz w:w="11906" w:h="16838"/>
      <w:pgMar w:top="851" w:right="992" w:bottom="851" w:left="1134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47" w:rsidRDefault="00CE2647" w:rsidP="00375F44">
      <w:r>
        <w:separator/>
      </w:r>
    </w:p>
  </w:endnote>
  <w:endnote w:type="continuationSeparator" w:id="0">
    <w:p w:rsidR="00CE2647" w:rsidRDefault="00CE2647" w:rsidP="003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2808F6">
    <w:pPr>
      <w:pStyle w:val="a5"/>
      <w:framePr w:h="0" w:wrap="around" w:vAnchor="text" w:hAnchor="margin" w:xAlign="right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</w:rPr>
      <w:t>4</w:t>
    </w:r>
    <w:r>
      <w:fldChar w:fldCharType="end"/>
    </w:r>
  </w:p>
  <w:p w:rsidR="00F5066F" w:rsidRDefault="00CE264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47" w:rsidRDefault="00CE2647" w:rsidP="00375F44">
      <w:r>
        <w:separator/>
      </w:r>
    </w:p>
  </w:footnote>
  <w:footnote w:type="continuationSeparator" w:id="0">
    <w:p w:rsidR="00CE2647" w:rsidRDefault="00CE2647" w:rsidP="0037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6F" w:rsidRDefault="00CE2647">
    <w:pPr>
      <w:spacing w:line="360" w:lineRule="auto"/>
      <w:jc w:val="center"/>
      <w:rPr>
        <w:b/>
        <w:bCs/>
        <w:sz w:val="14"/>
        <w:szCs w:val="14"/>
      </w:rPr>
    </w:pPr>
  </w:p>
  <w:p w:rsidR="00F5066F" w:rsidRDefault="00CE2647">
    <w:pPr>
      <w:spacing w:line="360" w:lineRule="auto"/>
      <w:jc w:val="center"/>
      <w:rPr>
        <w:b/>
        <w:bCs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41" w:type="dxa"/>
      <w:tblLayout w:type="fixed"/>
      <w:tblLook w:val="0000" w:firstRow="0" w:lastRow="0" w:firstColumn="0" w:lastColumn="0" w:noHBand="0" w:noVBand="0"/>
    </w:tblPr>
    <w:tblGrid>
      <w:gridCol w:w="2442"/>
      <w:gridCol w:w="898"/>
      <w:gridCol w:w="3497"/>
      <w:gridCol w:w="3340"/>
      <w:gridCol w:w="62"/>
    </w:tblGrid>
    <w:tr w:rsidR="00F5066F">
      <w:trPr>
        <w:gridAfter w:val="1"/>
        <w:wAfter w:w="62" w:type="dxa"/>
        <w:trHeight w:val="136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lang w:val="bg-BG" w:eastAsia="bg-BG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Инвестираме във вашето бъдеще</w:t>
          </w:r>
        </w:p>
      </w:tc>
      <w:tc>
        <w:tcPr>
          <w:tcW w:w="3497" w:type="dxa"/>
        </w:tcPr>
        <w:p w:rsidR="00F5066F" w:rsidRDefault="00CE2647">
          <w:pPr>
            <w:rPr>
              <w:lang w:val="bg-BG" w:eastAsia="bg-BG"/>
            </w:rPr>
          </w:pPr>
        </w:p>
      </w:tc>
      <w:tc>
        <w:tcPr>
          <w:tcW w:w="3340" w:type="dxa"/>
        </w:tcPr>
        <w:p w:rsidR="00F5066F" w:rsidRDefault="00785498">
          <w:pPr>
            <w:rPr>
              <w:lang w:val="bg-BG" w:eastAsia="bg-BG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116205</wp:posOffset>
                </wp:positionV>
                <wp:extent cx="893445" cy="845185"/>
                <wp:effectExtent l="0" t="0" r="1905" b="0"/>
                <wp:wrapNone/>
                <wp:docPr id="53" name="Картина 53" descr="ko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5066F">
      <w:trPr>
        <w:gridAfter w:val="1"/>
        <w:wAfter w:w="62" w:type="dxa"/>
        <w:trHeight w:val="1250"/>
      </w:trPr>
      <w:tc>
        <w:tcPr>
          <w:tcW w:w="3340" w:type="dxa"/>
          <w:gridSpan w:val="2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margin">
                  <wp:posOffset>74930</wp:posOffset>
                </wp:positionV>
                <wp:extent cx="1020445" cy="699770"/>
                <wp:effectExtent l="0" t="0" r="8255" b="5080"/>
                <wp:wrapSquare wrapText="bothSides"/>
                <wp:docPr id="54" name="Картина 54" descr="EU-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97" w:type="dxa"/>
        </w:tcPr>
        <w:p w:rsidR="00F5066F" w:rsidRDefault="00785498">
          <w:r>
            <w:rPr>
              <w:noProof/>
              <w:lang w:val="bg-BG" w:eastAsia="bg-BG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3175</wp:posOffset>
                </wp:positionV>
                <wp:extent cx="1118235" cy="775970"/>
                <wp:effectExtent l="0" t="0" r="5715" b="5080"/>
                <wp:wrapNone/>
                <wp:docPr id="55" name="Картина 55" descr="NSRRlogo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RRlogo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0" w:type="dxa"/>
        </w:tcPr>
        <w:p w:rsidR="00F5066F" w:rsidRDefault="00CE2647"/>
      </w:tc>
    </w:tr>
    <w:tr w:rsidR="00F5066F">
      <w:trPr>
        <w:gridAfter w:val="1"/>
        <w:wAfter w:w="62" w:type="dxa"/>
        <w:trHeight w:val="597"/>
      </w:trPr>
      <w:tc>
        <w:tcPr>
          <w:tcW w:w="3340" w:type="dxa"/>
          <w:gridSpan w:val="2"/>
        </w:tcPr>
        <w:p w:rsidR="00F5066F" w:rsidRDefault="002808F6">
          <w:pPr>
            <w:jc w:val="center"/>
            <w:rPr>
              <w:rFonts w:ascii="Verdana" w:hAnsi="Verdana"/>
              <w:color w:val="333333"/>
              <w:sz w:val="20"/>
              <w:lang w:val="ru-RU"/>
            </w:rPr>
          </w:pPr>
          <w:r>
            <w:rPr>
              <w:rFonts w:ascii="Verdana" w:hAnsi="Verdana"/>
              <w:color w:val="333333"/>
              <w:sz w:val="20"/>
              <w:lang w:val="ru-RU"/>
            </w:rPr>
            <w:t>Европейски съюз</w:t>
          </w:r>
        </w:p>
        <w:p w:rsidR="00F5066F" w:rsidRDefault="002808F6">
          <w:pPr>
            <w:jc w:val="center"/>
            <w:rPr>
              <w:rFonts w:ascii="Verdana" w:hAnsi="Verdana"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 xml:space="preserve">Европейски фонд за </w:t>
          </w:r>
        </w:p>
        <w:p w:rsidR="00F5066F" w:rsidRDefault="002808F6">
          <w:pPr>
            <w:pStyle w:val="a3"/>
            <w:jc w:val="center"/>
            <w:rPr>
              <w:szCs w:val="20"/>
              <w:lang w:val="ru-RU" w:eastAsia="en-US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 w:eastAsia="en-US"/>
            </w:rPr>
            <w:t>регионално развитие</w:t>
          </w:r>
        </w:p>
      </w:tc>
      <w:tc>
        <w:tcPr>
          <w:tcW w:w="3497" w:type="dxa"/>
        </w:tcPr>
        <w:p w:rsidR="00F5066F" w:rsidRDefault="00CE2647">
          <w:pPr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</w:p>
        <w:p w:rsidR="00F5066F" w:rsidRDefault="00CE2647">
          <w:pPr>
            <w:rPr>
              <w:lang w:val="ru-RU"/>
            </w:rPr>
          </w:pPr>
        </w:p>
      </w:tc>
      <w:tc>
        <w:tcPr>
          <w:tcW w:w="3340" w:type="dxa"/>
        </w:tcPr>
        <w:p w:rsidR="00F5066F" w:rsidRDefault="002808F6">
          <w:pPr>
            <w:jc w:val="center"/>
            <w:rPr>
              <w:rFonts w:ascii="Verdana" w:hAnsi="Verdana"/>
              <w:b/>
              <w:color w:val="333333"/>
              <w:sz w:val="16"/>
              <w:szCs w:val="16"/>
              <w:lang w:val="ru-RU"/>
            </w:rPr>
          </w:pPr>
          <w:r>
            <w:rPr>
              <w:rFonts w:ascii="Verdana" w:hAnsi="Verdana"/>
              <w:color w:val="333333"/>
              <w:sz w:val="16"/>
              <w:szCs w:val="16"/>
              <w:lang w:val="ru-RU"/>
            </w:rPr>
            <w:t>Оперативна програма „Развитие на конкурентоспособността на българската икономика” 2007-2013</w:t>
          </w:r>
        </w:p>
      </w:tc>
    </w:tr>
    <w:tr w:rsidR="00F5066F">
      <w:trPr>
        <w:trHeight w:val="1329"/>
      </w:trPr>
      <w:tc>
        <w:tcPr>
          <w:tcW w:w="2442" w:type="dxa"/>
        </w:tcPr>
        <w:p w:rsidR="00F5066F" w:rsidRDefault="00CE2647">
          <w:pPr>
            <w:jc w:val="center"/>
            <w:rPr>
              <w:rFonts w:ascii="Verdana" w:hAnsi="Verdana"/>
              <w:b/>
              <w:color w:val="333333"/>
              <w:sz w:val="20"/>
              <w:lang w:val="ru-RU"/>
            </w:rPr>
          </w:pPr>
        </w:p>
        <w:p w:rsidR="00F5066F" w:rsidRDefault="00785498">
          <w:pPr>
            <w:jc w:val="right"/>
            <w:rPr>
              <w:rFonts w:ascii="Verdana" w:hAnsi="Verdana"/>
              <w:b/>
              <w:color w:val="333333"/>
              <w:sz w:val="8"/>
              <w:szCs w:val="8"/>
            </w:rPr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800100" cy="676275"/>
                <wp:effectExtent l="0" t="0" r="0" b="9525"/>
                <wp:docPr id="56" name="Картина 56" descr="bai_logo_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i_logo_kk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gridSpan w:val="4"/>
        </w:tcPr>
        <w:p w:rsidR="00F5066F" w:rsidRDefault="00CE2647">
          <w:pPr>
            <w:jc w:val="center"/>
            <w:rPr>
              <w:rFonts w:ascii="Verdana" w:hAnsi="Verdana"/>
              <w:b/>
              <w:color w:val="333333"/>
              <w:sz w:val="12"/>
              <w:szCs w:val="12"/>
            </w:rPr>
          </w:pPr>
        </w:p>
        <w:p w:rsidR="00F5066F" w:rsidRDefault="00CE2647">
          <w:pPr>
            <w:rPr>
              <w:rFonts w:ascii="Verdana" w:hAnsi="Verdana"/>
              <w:b/>
              <w:color w:val="333333"/>
              <w:sz w:val="20"/>
            </w:rPr>
          </w:pPr>
        </w:p>
        <w:p w:rsidR="00F5066F" w:rsidRDefault="00CE2647">
          <w:pPr>
            <w:rPr>
              <w:sz w:val="16"/>
              <w:szCs w:val="16"/>
              <w:lang w:val="ru-RU"/>
            </w:rPr>
          </w:pPr>
        </w:p>
      </w:tc>
    </w:tr>
  </w:tbl>
  <w:p w:rsidR="00F5066F" w:rsidRDefault="00CE26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E2EA2"/>
    <w:multiLevelType w:val="hybridMultilevel"/>
    <w:tmpl w:val="54D4E278"/>
    <w:lvl w:ilvl="0" w:tplc="04020005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C7C2062"/>
    <w:multiLevelType w:val="hybridMultilevel"/>
    <w:tmpl w:val="C474073C"/>
    <w:lvl w:ilvl="0" w:tplc="5F548894">
      <w:start w:val="1"/>
      <w:numFmt w:val="bullet"/>
      <w:lvlText w:val="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745AE0"/>
    <w:multiLevelType w:val="hybridMultilevel"/>
    <w:tmpl w:val="0B60C034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76696"/>
    <w:multiLevelType w:val="hybridMultilevel"/>
    <w:tmpl w:val="3B103590"/>
    <w:lvl w:ilvl="0" w:tplc="4BBA9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445C5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9151651"/>
    <w:multiLevelType w:val="multilevel"/>
    <w:tmpl w:val="A9F6DD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3D4846C2"/>
    <w:multiLevelType w:val="hybridMultilevel"/>
    <w:tmpl w:val="7354FED6"/>
    <w:lvl w:ilvl="0" w:tplc="0402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42270722"/>
    <w:multiLevelType w:val="hybridMultilevel"/>
    <w:tmpl w:val="8834BDA4"/>
    <w:lvl w:ilvl="0" w:tplc="0402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0E84850"/>
    <w:multiLevelType w:val="hybridMultilevel"/>
    <w:tmpl w:val="E09C680C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0F0645"/>
    <w:multiLevelType w:val="hybridMultilevel"/>
    <w:tmpl w:val="59741C76"/>
    <w:lvl w:ilvl="0" w:tplc="0402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9DB0E97"/>
    <w:multiLevelType w:val="hybridMultilevel"/>
    <w:tmpl w:val="93EAF43A"/>
    <w:lvl w:ilvl="0" w:tplc="B1C69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8"/>
    <w:rsid w:val="000021E6"/>
    <w:rsid w:val="000630AE"/>
    <w:rsid w:val="000C759F"/>
    <w:rsid w:val="00107B41"/>
    <w:rsid w:val="00126089"/>
    <w:rsid w:val="0016504D"/>
    <w:rsid w:val="0018156E"/>
    <w:rsid w:val="0019389C"/>
    <w:rsid w:val="001C0EFC"/>
    <w:rsid w:val="001C7FAE"/>
    <w:rsid w:val="001D4617"/>
    <w:rsid w:val="001E78D5"/>
    <w:rsid w:val="001F1DDB"/>
    <w:rsid w:val="001F2FDE"/>
    <w:rsid w:val="001F68B7"/>
    <w:rsid w:val="00221006"/>
    <w:rsid w:val="002707BD"/>
    <w:rsid w:val="002808F6"/>
    <w:rsid w:val="00282FA4"/>
    <w:rsid w:val="002B2D32"/>
    <w:rsid w:val="002C0175"/>
    <w:rsid w:val="002D483A"/>
    <w:rsid w:val="003007BC"/>
    <w:rsid w:val="00300AAB"/>
    <w:rsid w:val="00344F17"/>
    <w:rsid w:val="0035547F"/>
    <w:rsid w:val="00375F44"/>
    <w:rsid w:val="003952FD"/>
    <w:rsid w:val="003A3680"/>
    <w:rsid w:val="003E5AB0"/>
    <w:rsid w:val="003F4E87"/>
    <w:rsid w:val="004015C4"/>
    <w:rsid w:val="00441843"/>
    <w:rsid w:val="0044313E"/>
    <w:rsid w:val="0049601E"/>
    <w:rsid w:val="004F39C8"/>
    <w:rsid w:val="00503BAC"/>
    <w:rsid w:val="005213D1"/>
    <w:rsid w:val="00543490"/>
    <w:rsid w:val="00582401"/>
    <w:rsid w:val="00665B98"/>
    <w:rsid w:val="00680F57"/>
    <w:rsid w:val="007172BA"/>
    <w:rsid w:val="00773B27"/>
    <w:rsid w:val="0077508D"/>
    <w:rsid w:val="00785373"/>
    <w:rsid w:val="00785498"/>
    <w:rsid w:val="007E66B7"/>
    <w:rsid w:val="00830457"/>
    <w:rsid w:val="008924EE"/>
    <w:rsid w:val="008D4DA1"/>
    <w:rsid w:val="0092650D"/>
    <w:rsid w:val="0093290B"/>
    <w:rsid w:val="009557EF"/>
    <w:rsid w:val="009D3DE7"/>
    <w:rsid w:val="009D55D2"/>
    <w:rsid w:val="009E78AA"/>
    <w:rsid w:val="00A33861"/>
    <w:rsid w:val="00A91998"/>
    <w:rsid w:val="00AA2746"/>
    <w:rsid w:val="00AF2275"/>
    <w:rsid w:val="00B01EA6"/>
    <w:rsid w:val="00B212A5"/>
    <w:rsid w:val="00B32E9E"/>
    <w:rsid w:val="00B41E3F"/>
    <w:rsid w:val="00B47836"/>
    <w:rsid w:val="00B8037F"/>
    <w:rsid w:val="00B80567"/>
    <w:rsid w:val="00BB0E90"/>
    <w:rsid w:val="00BB33BE"/>
    <w:rsid w:val="00BC65A6"/>
    <w:rsid w:val="00BD4A84"/>
    <w:rsid w:val="00C933ED"/>
    <w:rsid w:val="00CA20DA"/>
    <w:rsid w:val="00CE2647"/>
    <w:rsid w:val="00CF5F3F"/>
    <w:rsid w:val="00D03B8E"/>
    <w:rsid w:val="00D30129"/>
    <w:rsid w:val="00D9746F"/>
    <w:rsid w:val="00DD6123"/>
    <w:rsid w:val="00DF3831"/>
    <w:rsid w:val="00E060E9"/>
    <w:rsid w:val="00E1511F"/>
    <w:rsid w:val="00E8143C"/>
    <w:rsid w:val="00E85C01"/>
    <w:rsid w:val="00EB02EA"/>
    <w:rsid w:val="00EB477D"/>
    <w:rsid w:val="00F30486"/>
    <w:rsid w:val="00F7279C"/>
    <w:rsid w:val="00F87089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B212A5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B212A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орен колонтитул Знак1"/>
    <w:link w:val="a3"/>
    <w:rsid w:val="00785498"/>
    <w:rPr>
      <w:sz w:val="24"/>
      <w:szCs w:val="24"/>
      <w:lang w:eastAsia="bg-BG"/>
    </w:rPr>
  </w:style>
  <w:style w:type="character" w:customStyle="1" w:styleId="a4">
    <w:name w:val="Долен колонтитул Знак"/>
    <w:link w:val="a5"/>
    <w:rsid w:val="00785498"/>
    <w:rPr>
      <w:sz w:val="24"/>
      <w:szCs w:val="24"/>
      <w:lang w:eastAsia="bg-BG"/>
    </w:rPr>
  </w:style>
  <w:style w:type="character" w:customStyle="1" w:styleId="FontStyle33">
    <w:name w:val="Font Style33"/>
    <w:uiPriority w:val="99"/>
    <w:rsid w:val="00785498"/>
    <w:rPr>
      <w:rFonts w:ascii="Cambria" w:hAnsi="Cambria" w:cs="Cambria"/>
      <w:sz w:val="16"/>
      <w:szCs w:val="16"/>
    </w:rPr>
  </w:style>
  <w:style w:type="character" w:customStyle="1" w:styleId="a6">
    <w:name w:val="Основен текст_"/>
    <w:link w:val="10"/>
    <w:uiPriority w:val="99"/>
    <w:rsid w:val="00785498"/>
    <w:rPr>
      <w:sz w:val="21"/>
      <w:szCs w:val="21"/>
      <w:shd w:val="clear" w:color="auto" w:fill="FFFFFF"/>
    </w:rPr>
  </w:style>
  <w:style w:type="character" w:customStyle="1" w:styleId="a7">
    <w:name w:val="Основен текст Знак"/>
    <w:link w:val="a8"/>
    <w:rsid w:val="00785498"/>
    <w:rPr>
      <w:sz w:val="24"/>
      <w:szCs w:val="24"/>
      <w:lang w:val="en-GB"/>
    </w:rPr>
  </w:style>
  <w:style w:type="character" w:customStyle="1" w:styleId="a9">
    <w:name w:val="Основен текст с отстъп Знак"/>
    <w:link w:val="aa"/>
    <w:rsid w:val="00785498"/>
    <w:rPr>
      <w:sz w:val="24"/>
      <w:szCs w:val="24"/>
      <w:lang w:val="en-US"/>
    </w:rPr>
  </w:style>
  <w:style w:type="character" w:styleId="ab">
    <w:name w:val="page number"/>
    <w:rsid w:val="00785498"/>
    <w:rPr>
      <w:rFonts w:cs="Times New Roman"/>
      <w:color w:val="000000"/>
      <w:spacing w:val="0"/>
      <w:w w:val="100"/>
      <w:position w:val="0"/>
      <w:sz w:val="24"/>
      <w:szCs w:val="24"/>
      <w:lang w:val="bg-BG"/>
    </w:rPr>
  </w:style>
  <w:style w:type="paragraph" w:styleId="a8">
    <w:name w:val="Body Text"/>
    <w:basedOn w:val="a"/>
    <w:link w:val="a7"/>
    <w:rsid w:val="00785498"/>
    <w:rPr>
      <w:rFonts w:asciiTheme="minorHAnsi" w:eastAsiaTheme="minorHAnsi" w:hAnsiTheme="minorHAnsi" w:cstheme="minorBidi"/>
      <w:lang w:val="en-GB"/>
    </w:rPr>
  </w:style>
  <w:style w:type="character" w:customStyle="1" w:styleId="11">
    <w:name w:val="Основен текст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9"/>
    <w:rsid w:val="00785498"/>
    <w:pPr>
      <w:spacing w:after="120"/>
      <w:ind w:left="360"/>
    </w:pPr>
    <w:rPr>
      <w:rFonts w:asciiTheme="minorHAnsi" w:eastAsiaTheme="minorHAnsi" w:hAnsiTheme="minorHAnsi" w:cstheme="minorBidi"/>
    </w:rPr>
  </w:style>
  <w:style w:type="character" w:customStyle="1" w:styleId="12">
    <w:name w:val="Основен текст с отстъп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4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13">
    <w:name w:val="Долен колонтитул Знак1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Основен текст1"/>
    <w:basedOn w:val="a"/>
    <w:link w:val="a6"/>
    <w:uiPriority w:val="99"/>
    <w:rsid w:val="00785498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bg-BG"/>
    </w:rPr>
  </w:style>
  <w:style w:type="paragraph" w:customStyle="1" w:styleId="Style11">
    <w:name w:val="Style11"/>
    <w:basedOn w:val="a"/>
    <w:uiPriority w:val="99"/>
    <w:rsid w:val="00785498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ac">
    <w:name w:val="No Spacing"/>
    <w:uiPriority w:val="1"/>
    <w:qFormat/>
    <w:rsid w:val="00785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e3">
    <w:name w:val="Style3"/>
    <w:basedOn w:val="a"/>
    <w:uiPriority w:val="99"/>
    <w:rsid w:val="00785498"/>
    <w:pPr>
      <w:widowControl w:val="0"/>
      <w:autoSpaceDE w:val="0"/>
      <w:autoSpaceDN w:val="0"/>
      <w:adjustRightInd w:val="0"/>
      <w:spacing w:line="209" w:lineRule="exact"/>
      <w:jc w:val="both"/>
    </w:pPr>
    <w:rPr>
      <w:lang w:val="bg-BG" w:eastAsia="bg-BG"/>
    </w:rPr>
  </w:style>
  <w:style w:type="paragraph" w:styleId="a3">
    <w:name w:val="header"/>
    <w:basedOn w:val="a"/>
    <w:link w:val="1"/>
    <w:rsid w:val="007854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bg-BG" w:eastAsia="bg-BG"/>
    </w:rPr>
  </w:style>
  <w:style w:type="character" w:customStyle="1" w:styleId="ad">
    <w:name w:val="Горен колонтитул Знак"/>
    <w:basedOn w:val="a0"/>
    <w:uiPriority w:val="99"/>
    <w:semiHidden/>
    <w:rsid w:val="007854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785498"/>
    <w:pPr>
      <w:widowControl w:val="0"/>
      <w:autoSpaceDE w:val="0"/>
      <w:autoSpaceDN w:val="0"/>
      <w:adjustRightInd w:val="0"/>
      <w:spacing w:line="281" w:lineRule="exact"/>
      <w:ind w:hanging="353"/>
      <w:jc w:val="both"/>
    </w:pPr>
  </w:style>
  <w:style w:type="paragraph" w:customStyle="1" w:styleId="Style34">
    <w:name w:val="Style34"/>
    <w:basedOn w:val="a"/>
    <w:uiPriority w:val="99"/>
    <w:rsid w:val="00785498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88">
    <w:name w:val="Font Style88"/>
    <w:uiPriority w:val="99"/>
    <w:rsid w:val="00785498"/>
    <w:rPr>
      <w:rFonts w:ascii="Times New Roman" w:hAnsi="Times New Roman" w:cs="Times New Roman"/>
      <w:sz w:val="22"/>
      <w:szCs w:val="22"/>
    </w:rPr>
  </w:style>
  <w:style w:type="character" w:customStyle="1" w:styleId="100">
    <w:name w:val="Основен текст (10)_"/>
    <w:link w:val="101"/>
    <w:rsid w:val="00785498"/>
    <w:rPr>
      <w:rFonts w:ascii="Arial" w:eastAsia="Arial" w:hAnsi="Arial" w:cs="Arial"/>
      <w:i/>
      <w:iCs/>
      <w:shd w:val="clear" w:color="auto" w:fill="FFFFFF"/>
    </w:rPr>
  </w:style>
  <w:style w:type="character" w:customStyle="1" w:styleId="102">
    <w:name w:val="Основен текст (10) + Не е курсив"/>
    <w:rsid w:val="0078549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bg-BG"/>
    </w:rPr>
  </w:style>
  <w:style w:type="paragraph" w:customStyle="1" w:styleId="101">
    <w:name w:val="Основен текст (10)"/>
    <w:basedOn w:val="a"/>
    <w:link w:val="100"/>
    <w:rsid w:val="00785498"/>
    <w:pPr>
      <w:widowControl w:val="0"/>
      <w:shd w:val="clear" w:color="auto" w:fill="FFFFFF"/>
      <w:spacing w:line="313" w:lineRule="exact"/>
      <w:ind w:hanging="720"/>
      <w:jc w:val="both"/>
    </w:pPr>
    <w:rPr>
      <w:rFonts w:ascii="Arial" w:eastAsia="Arial" w:hAnsi="Arial" w:cs="Arial"/>
      <w:i/>
      <w:iCs/>
      <w:sz w:val="22"/>
      <w:szCs w:val="22"/>
      <w:lang w:val="bg-BG"/>
    </w:rPr>
  </w:style>
  <w:style w:type="paragraph" w:customStyle="1" w:styleId="31">
    <w:name w:val="Заглавие #31"/>
    <w:basedOn w:val="a"/>
    <w:uiPriority w:val="99"/>
    <w:rsid w:val="00785498"/>
    <w:pPr>
      <w:shd w:val="clear" w:color="auto" w:fill="FFFFFF"/>
      <w:spacing w:after="240" w:line="240" w:lineRule="atLeast"/>
      <w:ind w:hanging="360"/>
      <w:outlineLvl w:val="2"/>
    </w:pPr>
    <w:rPr>
      <w:rFonts w:eastAsia="Calibri"/>
      <w:b/>
      <w:bCs/>
      <w:color w:val="000000"/>
      <w:sz w:val="23"/>
      <w:szCs w:val="23"/>
      <w:lang w:val="bg-BG" w:eastAsia="bg-BG"/>
    </w:rPr>
  </w:style>
  <w:style w:type="character" w:customStyle="1" w:styleId="32">
    <w:name w:val="Заглавие #32"/>
    <w:uiPriority w:val="99"/>
    <w:rsid w:val="00785498"/>
    <w:rPr>
      <w:sz w:val="23"/>
      <w:szCs w:val="23"/>
      <w:u w:val="single"/>
      <w:shd w:val="clear" w:color="auto" w:fill="FFFFFF"/>
    </w:rPr>
  </w:style>
  <w:style w:type="paragraph" w:styleId="ae">
    <w:name w:val="List Paragraph"/>
    <w:basedOn w:val="a"/>
    <w:link w:val="af"/>
    <w:qFormat/>
    <w:rsid w:val="00785498"/>
    <w:pPr>
      <w:ind w:left="720"/>
      <w:contextualSpacing/>
    </w:pPr>
  </w:style>
  <w:style w:type="character" w:customStyle="1" w:styleId="af">
    <w:name w:val="Списък на абзаци Знак"/>
    <w:link w:val="ae"/>
    <w:locked/>
    <w:rsid w:val="00B803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List"/>
    <w:basedOn w:val="a"/>
    <w:rsid w:val="003952FD"/>
    <w:pPr>
      <w:ind w:left="283" w:hanging="283"/>
    </w:pPr>
    <w:rPr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B212A5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B212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Krasteva</dc:creator>
  <cp:lastModifiedBy>User</cp:lastModifiedBy>
  <cp:revision>2</cp:revision>
  <cp:lastPrinted>2017-06-08T13:08:00Z</cp:lastPrinted>
  <dcterms:created xsi:type="dcterms:W3CDTF">2017-06-14T12:50:00Z</dcterms:created>
  <dcterms:modified xsi:type="dcterms:W3CDTF">2017-06-14T12:50:00Z</dcterms:modified>
</cp:coreProperties>
</file>